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65" w:line="221" w:lineRule="auto"/>
        <w:ind w:left="110" w:firstLine="0" w:firstLineChars="0"/>
        <w:jc w:val="left"/>
        <w:textAlignment w:val="baseline"/>
        <w:rPr>
          <w:rFonts w:ascii="黑体" w:hAnsi="黑体" w:eastAsia="黑体" w:cs="黑体"/>
          <w:snapToGrid w:val="0"/>
          <w:color w:val="000000"/>
          <w:kern w:val="0"/>
          <w:szCs w:val="21"/>
        </w:rPr>
      </w:pPr>
      <w:r>
        <w:rPr>
          <w:rFonts w:hint="eastAsia" w:ascii="黑体" w:hAnsi="黑体" w:eastAsia="黑体" w:cs="黑体"/>
          <w:snapToGrid w:val="0"/>
          <w:color w:val="000000"/>
          <w:spacing w:val="-5"/>
          <w:kern w:val="0"/>
          <w:szCs w:val="21"/>
        </w:rPr>
        <w:t>ICS号</w:t>
      </w:r>
    </w:p>
    <w:p>
      <w:pPr>
        <w:widowControl/>
        <w:kinsoku w:val="0"/>
        <w:autoSpaceDE w:val="0"/>
        <w:autoSpaceDN w:val="0"/>
        <w:adjustRightInd w:val="0"/>
        <w:snapToGrid w:val="0"/>
        <w:spacing w:before="49" w:line="219" w:lineRule="auto"/>
        <w:ind w:left="110" w:firstLine="0" w:firstLineChars="0"/>
        <w:jc w:val="left"/>
        <w:textAlignment w:val="baseline"/>
        <w:rPr>
          <w:rFonts w:ascii="黑体" w:hAnsi="黑体" w:eastAsia="黑体" w:cs="黑体"/>
          <w:snapToGrid w:val="0"/>
          <w:color w:val="000000"/>
          <w:spacing w:val="2"/>
          <w:kern w:val="0"/>
          <w:szCs w:val="21"/>
        </w:rPr>
      </w:pPr>
      <w:r>
        <w:rPr>
          <w:rFonts w:hint="eastAsia" w:ascii="黑体" w:hAnsi="黑体" w:eastAsia="黑体" w:cs="黑体"/>
          <w:snapToGrid w:val="0"/>
          <w:color w:val="000000"/>
          <w:spacing w:val="2"/>
          <w:kern w:val="0"/>
          <w:szCs w:val="21"/>
        </w:rPr>
        <w:t>中国标准文献分类号</w:t>
      </w:r>
    </w:p>
    <w:p>
      <w:pPr>
        <w:widowControl/>
        <w:kinsoku w:val="0"/>
        <w:autoSpaceDE w:val="0"/>
        <w:autoSpaceDN w:val="0"/>
        <w:adjustRightInd w:val="0"/>
        <w:snapToGrid w:val="0"/>
        <w:spacing w:before="49" w:line="219" w:lineRule="auto"/>
        <w:ind w:left="110" w:firstLine="0" w:firstLineChars="0"/>
        <w:jc w:val="right"/>
        <w:textAlignment w:val="baseline"/>
        <w:rPr>
          <w:rFonts w:ascii="黑体" w:hAnsi="黑体" w:eastAsia="黑体" w:cs="黑体"/>
          <w:snapToGrid w:val="0"/>
          <w:color w:val="000000"/>
          <w:spacing w:val="2"/>
          <w:kern w:val="0"/>
          <w:szCs w:val="21"/>
        </w:rPr>
      </w:pPr>
      <w:r>
        <w:rPr>
          <w:rFonts w:hint="eastAsia"/>
          <w:b/>
          <w:bCs/>
          <w:color w:val="000000" w:themeColor="text1"/>
          <w:sz w:val="144"/>
          <w:szCs w:val="144"/>
          <w14:textFill>
            <w14:solidFill>
              <w14:schemeClr w14:val="tx1"/>
            </w14:solidFill>
          </w14:textFill>
        </w:rPr>
        <w:t>XX</w:t>
      </w:r>
    </w:p>
    <w:p>
      <w:pPr>
        <w:widowControl/>
        <w:kinsoku w:val="0"/>
        <w:autoSpaceDE w:val="0"/>
        <w:autoSpaceDN w:val="0"/>
        <w:adjustRightInd w:val="0"/>
        <w:snapToGrid w:val="0"/>
        <w:spacing w:before="465" w:line="224" w:lineRule="auto"/>
        <w:ind w:left="0" w:leftChars="0" w:firstLine="0" w:firstLineChars="0"/>
        <w:jc w:val="center"/>
        <w:textAlignment w:val="baseline"/>
        <w:rPr>
          <w:rFonts w:ascii="黑体" w:hAnsi="黑体" w:eastAsia="黑体" w:cs="黑体"/>
          <w:snapToGrid w:val="0"/>
          <w:color w:val="000000"/>
          <w:kern w:val="0"/>
          <w:sz w:val="86"/>
          <w:szCs w:val="86"/>
        </w:rPr>
      </w:pPr>
      <w:r>
        <w:rPr>
          <w:rFonts w:hint="eastAsia" w:ascii="黑体" w:hAnsi="黑体" w:eastAsia="黑体" w:cs="黑体"/>
          <w:b/>
          <w:bCs/>
          <w:snapToGrid w:val="0"/>
          <w:color w:val="000000"/>
          <w:spacing w:val="-25"/>
          <w:kern w:val="0"/>
          <w:sz w:val="86"/>
          <w:szCs w:val="86"/>
        </w:rPr>
        <w:t xml:space="preserve">团  体 </w:t>
      </w:r>
      <w:r>
        <w:rPr>
          <w:rFonts w:hint="eastAsia" w:ascii="黑体" w:hAnsi="黑体" w:eastAsia="黑体" w:cs="黑体"/>
          <w:b/>
          <w:bCs/>
          <w:snapToGrid w:val="0"/>
          <w:color w:val="000000"/>
          <w:spacing w:val="-25"/>
          <w:kern w:val="0"/>
          <w:sz w:val="86"/>
          <w:szCs w:val="86"/>
          <w:lang w:val="en-US" w:eastAsia="zh-CN"/>
        </w:rPr>
        <w:t xml:space="preserve"> </w:t>
      </w:r>
      <w:r>
        <w:rPr>
          <w:rFonts w:ascii="黑体" w:hAnsi="黑体" w:eastAsia="黑体" w:cs="黑体"/>
          <w:b/>
          <w:bCs/>
          <w:snapToGrid w:val="0"/>
          <w:color w:val="000000"/>
          <w:spacing w:val="-25"/>
          <w:kern w:val="0"/>
          <w:sz w:val="86"/>
          <w:szCs w:val="86"/>
        </w:rPr>
        <w:t>标</w:t>
      </w:r>
      <w:bookmarkStart w:id="0" w:name="_Toc25274"/>
      <w:bookmarkStart w:id="1" w:name="_Toc7227"/>
      <w:bookmarkStart w:id="2" w:name="_Toc260"/>
      <w:bookmarkStart w:id="3" w:name="_Toc24638"/>
      <w:r>
        <w:rPr>
          <w:rFonts w:hint="eastAsia" w:ascii="黑体" w:hAnsi="黑体" w:eastAsia="黑体" w:cs="黑体"/>
          <w:b/>
          <w:bCs/>
          <w:snapToGrid w:val="0"/>
          <w:color w:val="000000"/>
          <w:spacing w:val="-25"/>
          <w:kern w:val="0"/>
          <w:sz w:val="86"/>
          <w:szCs w:val="86"/>
          <w:lang w:val="en-US" w:eastAsia="zh-CN"/>
        </w:rPr>
        <w:t xml:space="preserve"> </w:t>
      </w:r>
      <w:r>
        <w:rPr>
          <w:rFonts w:ascii="黑体" w:hAnsi="黑体" w:eastAsia="黑体" w:cs="黑体"/>
          <w:b/>
          <w:bCs/>
          <w:snapToGrid w:val="0"/>
          <w:color w:val="000000"/>
          <w:spacing w:val="-10"/>
          <w:kern w:val="0"/>
          <w:sz w:val="86"/>
          <w:szCs w:val="86"/>
        </w:rPr>
        <w:t>准</w:t>
      </w:r>
      <w:bookmarkEnd w:id="0"/>
      <w:bookmarkEnd w:id="1"/>
      <w:bookmarkEnd w:id="2"/>
      <w:bookmarkEnd w:id="3"/>
    </w:p>
    <w:p>
      <w:pPr>
        <w:widowControl/>
        <w:kinsoku w:val="0"/>
        <w:autoSpaceDE w:val="0"/>
        <w:autoSpaceDN w:val="0"/>
        <w:adjustRightInd w:val="0"/>
        <w:snapToGrid w:val="0"/>
        <w:spacing w:before="36" w:line="226" w:lineRule="auto"/>
        <w:ind w:firstLine="0" w:firstLineChars="0"/>
        <w:jc w:val="right"/>
        <w:textAlignment w:val="baseline"/>
        <w:rPr>
          <w:rFonts w:ascii="黑体" w:hAnsi="黑体" w:eastAsia="黑体" w:cs="黑体"/>
          <w:snapToGrid w:val="0"/>
          <w:color w:val="000000"/>
          <w:kern w:val="0"/>
          <w:sz w:val="28"/>
          <w:szCs w:val="28"/>
        </w:rPr>
      </w:pPr>
      <w:r>
        <w:rPr>
          <w:rFonts w:hint="eastAsia" w:ascii="黑体" w:hAnsi="黑体" w:eastAsia="黑体" w:cs="黑体"/>
          <w:snapToGrid w:val="0"/>
          <w:color w:val="000000"/>
          <w:spacing w:val="2"/>
          <w:kern w:val="0"/>
          <w:sz w:val="28"/>
          <w:szCs w:val="28"/>
        </w:rPr>
        <w:t>团体标准编号</w:t>
      </w:r>
    </w:p>
    <w:p>
      <w:pPr>
        <w:widowControl/>
        <w:kinsoku w:val="0"/>
        <w:autoSpaceDE w:val="0"/>
        <w:autoSpaceDN w:val="0"/>
        <w:adjustRightInd w:val="0"/>
        <w:snapToGrid w:val="0"/>
        <w:spacing w:before="36" w:line="226" w:lineRule="auto"/>
        <w:ind w:firstLine="0" w:firstLineChars="0"/>
        <w:jc w:val="left"/>
        <w:textAlignment w:val="baseline"/>
        <w:rPr>
          <w:rFonts w:ascii="黑体" w:hAnsi="黑体" w:eastAsia="黑体" w:cs="黑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22" w:h="16838"/>
          <w:pgMar w:top="1440" w:right="1440" w:bottom="1440" w:left="1440" w:header="850" w:footer="850" w:gutter="0"/>
          <w:cols w:space="0" w:num="1"/>
        </w:sectPr>
      </w:pPr>
    </w:p>
    <w:p>
      <w:pPr>
        <w:widowControl/>
        <w:kinsoku w:val="0"/>
        <w:autoSpaceDE w:val="0"/>
        <w:autoSpaceDN w:val="0"/>
        <w:adjustRightInd w:val="0"/>
        <w:snapToGrid w:val="0"/>
        <w:spacing w:line="259" w:lineRule="auto"/>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9" w:lineRule="auto"/>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9" w:lineRule="auto"/>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9" w:lineRule="auto"/>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9" w:lineRule="auto"/>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9" w:lineRule="auto"/>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9" w:lineRule="auto"/>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0" w:lineRule="auto"/>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16" w:line="221" w:lineRule="auto"/>
        <w:ind w:firstLine="0" w:firstLineChars="0"/>
        <w:jc w:val="center"/>
        <w:textAlignment w:val="baseline"/>
        <w:outlineLvl w:val="0"/>
        <w:rPr>
          <w:rFonts w:ascii="黑体" w:hAnsi="黑体" w:eastAsia="黑体" w:cs="黑体"/>
          <w:b/>
          <w:bCs/>
          <w:snapToGrid w:val="0"/>
          <w:color w:val="000000"/>
          <w:spacing w:val="-7"/>
          <w:kern w:val="0"/>
          <w:sz w:val="47"/>
          <w:szCs w:val="47"/>
        </w:rPr>
      </w:pPr>
      <w:bookmarkStart w:id="4" w:name="_Toc28027"/>
      <w:bookmarkStart w:id="5" w:name="_Toc11180"/>
      <w:bookmarkStart w:id="6" w:name="_Toc974"/>
      <w:bookmarkStart w:id="7" w:name="_Toc8104"/>
      <w:r>
        <w:rPr>
          <w:rFonts w:hint="eastAsia" w:ascii="黑体" w:hAnsi="黑体" w:eastAsia="黑体" w:cs="黑体"/>
          <w:b/>
          <w:bCs/>
          <w:snapToGrid w:val="0"/>
          <w:color w:val="000000"/>
          <w:spacing w:val="-7"/>
          <w:kern w:val="0"/>
          <w:sz w:val="52"/>
          <w:szCs w:val="52"/>
        </w:rPr>
        <w:t>安康市稻渔油综合种养标准</w:t>
      </w:r>
      <w:bookmarkEnd w:id="4"/>
      <w:bookmarkEnd w:id="5"/>
      <w:bookmarkEnd w:id="6"/>
      <w:bookmarkEnd w:id="7"/>
    </w:p>
    <w:p>
      <w:pPr>
        <w:widowControl/>
        <w:kinsoku w:val="0"/>
        <w:autoSpaceDE w:val="0"/>
        <w:autoSpaceDN w:val="0"/>
        <w:adjustRightInd w:val="0"/>
        <w:snapToGrid w:val="0"/>
        <w:spacing w:before="316" w:line="221" w:lineRule="auto"/>
        <w:ind w:firstLine="0" w:firstLineChars="0"/>
        <w:jc w:val="center"/>
        <w:textAlignment w:val="baseline"/>
        <w:rPr>
          <w:rFonts w:eastAsia="黑体" w:cs="Times New Roman"/>
          <w:snapToGrid w:val="0"/>
          <w:color w:val="000000"/>
          <w:spacing w:val="12"/>
          <w:kern w:val="0"/>
          <w:sz w:val="28"/>
          <w:szCs w:val="28"/>
        </w:rPr>
      </w:pPr>
      <w:r>
        <w:rPr>
          <w:rFonts w:eastAsia="黑体" w:cs="Times New Roman"/>
          <w:snapToGrid w:val="0"/>
          <w:color w:val="000000"/>
          <w:spacing w:val="12"/>
          <w:kern w:val="0"/>
          <w:sz w:val="28"/>
          <w:szCs w:val="28"/>
        </w:rPr>
        <w:t xml:space="preserve">Standard of rice,fishery and rape comprehensive cultivation </w:t>
      </w:r>
    </w:p>
    <w:p>
      <w:pPr>
        <w:widowControl/>
        <w:kinsoku w:val="0"/>
        <w:autoSpaceDE w:val="0"/>
        <w:autoSpaceDN w:val="0"/>
        <w:adjustRightInd w:val="0"/>
        <w:snapToGrid w:val="0"/>
        <w:spacing w:before="316" w:line="221" w:lineRule="auto"/>
        <w:ind w:firstLine="0" w:firstLineChars="0"/>
        <w:jc w:val="center"/>
        <w:textAlignment w:val="baseline"/>
        <w:rPr>
          <w:rFonts w:eastAsia="黑体" w:cs="Times New Roman"/>
          <w:snapToGrid w:val="0"/>
          <w:color w:val="000000"/>
          <w:kern w:val="0"/>
          <w:sz w:val="28"/>
          <w:szCs w:val="28"/>
        </w:rPr>
      </w:pPr>
      <w:r>
        <w:rPr>
          <w:rFonts w:eastAsia="黑体" w:cs="Times New Roman"/>
          <w:snapToGrid w:val="0"/>
          <w:color w:val="000000"/>
          <w:spacing w:val="12"/>
          <w:kern w:val="0"/>
          <w:sz w:val="28"/>
          <w:szCs w:val="28"/>
        </w:rPr>
        <w:t>in Ankang</w:t>
      </w: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 w:val="28"/>
          <w:szCs w:val="28"/>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ind w:firstLine="0" w:firstLineChars="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82" w:lineRule="exact"/>
        <w:ind w:firstLine="0" w:firstLineChars="0"/>
        <w:jc w:val="left"/>
        <w:textAlignment w:val="baseline"/>
        <w:rPr>
          <w:rFonts w:ascii="Arial" w:hAnsi="Arial" w:eastAsia="Arial" w:cs="Arial"/>
          <w:snapToGrid w:val="0"/>
          <w:color w:val="000000"/>
          <w:kern w:val="0"/>
          <w:szCs w:val="21"/>
        </w:rPr>
      </w:pPr>
    </w:p>
    <w:p>
      <w:pPr>
        <w:sectPr>
          <w:type w:val="continuous"/>
          <w:pgSz w:w="11922" w:h="16838"/>
          <w:pgMar w:top="1440" w:right="1440" w:bottom="1440" w:left="1440" w:header="850" w:footer="850" w:gutter="0"/>
          <w:cols w:space="0" w:num="1"/>
        </w:sectPr>
      </w:pPr>
    </w:p>
    <w:p>
      <w:pPr>
        <w:widowControl/>
        <w:kinsoku w:val="0"/>
        <w:autoSpaceDE w:val="0"/>
        <w:autoSpaceDN w:val="0"/>
        <w:adjustRightInd w:val="0"/>
        <w:snapToGrid w:val="0"/>
        <w:spacing w:before="61" w:line="219" w:lineRule="auto"/>
        <w:ind w:left="50" w:firstLine="0" w:firstLineChars="0"/>
        <w:jc w:val="left"/>
        <w:textAlignment w:val="baseline"/>
        <w:rPr>
          <w:rFonts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XXXXXXXX</w:t>
      </w:r>
      <w:r>
        <w:rPr>
          <w:rFonts w:hint="eastAsia" w:ascii="黑体" w:hAnsi="黑体" w:eastAsia="黑体" w:cs="黑体"/>
          <w:snapToGrid w:val="0"/>
          <w:color w:val="000000"/>
          <w:spacing w:val="1"/>
          <w:kern w:val="0"/>
          <w:sz w:val="28"/>
          <w:szCs w:val="28"/>
        </w:rPr>
        <w:t>发布</w:t>
      </w:r>
      <w:r>
        <w:rPr>
          <w:rFonts w:hint="eastAsia" w:ascii="黑体" w:hAnsi="黑体" w:eastAsia="黑体" w:cs="黑体"/>
          <w:snapToGrid w:val="0"/>
          <w:color w:val="000000"/>
          <w:spacing w:val="-6"/>
          <w:kern w:val="0"/>
          <w:sz w:val="28"/>
          <w:szCs w:val="28"/>
        </w:rPr>
        <w:t>XXXXXXXX</w:t>
      </w:r>
      <w:r>
        <w:rPr>
          <w:rFonts w:hint="eastAsia" w:ascii="黑体" w:hAnsi="黑体" w:eastAsia="黑体" w:cs="黑体"/>
          <w:snapToGrid w:val="0"/>
          <w:spacing w:val="-6"/>
          <w:kern w:val="0"/>
          <w:sz w:val="28"/>
          <w:szCs w:val="28"/>
        </w:rPr>
        <w:t>实</w:t>
      </w:r>
      <w:r>
        <w:rPr>
          <w:rFonts w:hint="eastAsia" w:ascii="黑体" w:hAnsi="黑体" w:eastAsia="黑体" w:cs="黑体"/>
          <w:snapToGrid w:val="0"/>
          <w:color w:val="000000"/>
          <w:spacing w:val="-6"/>
          <w:kern w:val="0"/>
          <w:sz w:val="28"/>
          <w:szCs w:val="28"/>
        </w:rPr>
        <w:t>施</w:t>
      </w:r>
    </w:p>
    <w:p>
      <w:pPr>
        <w:sectPr>
          <w:type w:val="continuous"/>
          <w:pgSz w:w="11922" w:h="16838"/>
          <w:pgMar w:top="1440" w:right="1440" w:bottom="1440" w:left="1440" w:header="850" w:footer="850" w:gutter="0"/>
          <w:cols w:space="0" w:num="1"/>
        </w:sectPr>
      </w:pPr>
    </w:p>
    <w:p>
      <w:pPr>
        <w:widowControl/>
        <w:kinsoku w:val="0"/>
        <w:autoSpaceDE w:val="0"/>
        <w:autoSpaceDN w:val="0"/>
        <w:adjustRightInd w:val="0"/>
        <w:snapToGrid w:val="0"/>
        <w:spacing w:line="306" w:lineRule="auto"/>
        <w:ind w:firstLine="0" w:firstLineChars="0"/>
        <w:jc w:val="left"/>
        <w:textAlignment w:val="baseline"/>
        <w:rPr>
          <w:rFonts w:ascii="Arial" w:hAnsi="Arial" w:eastAsia="Arial" w:cs="Arial"/>
          <w:snapToGrid w:val="0"/>
          <w:color w:val="000000"/>
          <w:kern w:val="0"/>
          <w:szCs w:val="21"/>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60325</wp:posOffset>
                </wp:positionV>
                <wp:extent cx="5586095" cy="15240"/>
                <wp:effectExtent l="0" t="6350" r="1905" b="16510"/>
                <wp:wrapNone/>
                <wp:docPr id="8" name="直接连接符 8"/>
                <wp:cNvGraphicFramePr/>
                <a:graphic xmlns:a="http://schemas.openxmlformats.org/drawingml/2006/main">
                  <a:graphicData uri="http://schemas.microsoft.com/office/word/2010/wordprocessingShape">
                    <wps:wsp>
                      <wps:cNvCnPr/>
                      <wps:spPr>
                        <a:xfrm flipV="1">
                          <a:off x="870585" y="8282305"/>
                          <a:ext cx="5586095" cy="1524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6pt;margin-top:4.75pt;height:1.2pt;width:439.85pt;z-index:251659264;mso-width-relative:page;mso-height-relative:page;" filled="f" stroked="t" coordsize="21600,21600" o:gfxdata="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omT90wAAAAYBAAAPAAAAAAAAAAEAIAAAACIAAABkcnMvZG93bnJldi54&#10;bWxQSwECFAAUAAAACACHTuJA+BoRVf8BAADZAwAADgAAAAAAAAABACAAAAAiAQAAZHJzL2Uyb0Rv&#10;Yy54bWxQSwUGAAAAAAYABgBZAQAAkwUAAAAA&#10;">
                <v:fill on="f" focussize="0,0"/>
                <v:stroke weight="1pt" color="#000000" miterlimit="8" joinstyle="miter"/>
                <v:imagedata o:title=""/>
                <o:lock v:ext="edit" aspectratio="f"/>
              </v:line>
            </w:pict>
          </mc:Fallback>
        </mc:AlternateContent>
      </w:r>
    </w:p>
    <w:p>
      <w:pPr>
        <w:widowControl/>
        <w:kinsoku w:val="0"/>
        <w:autoSpaceDE w:val="0"/>
        <w:autoSpaceDN w:val="0"/>
        <w:adjustRightInd w:val="0"/>
        <w:snapToGrid w:val="0"/>
        <w:spacing w:before="98" w:line="184" w:lineRule="auto"/>
        <w:ind w:firstLine="0" w:firstLineChars="0"/>
        <w:jc w:val="left"/>
        <w:textAlignment w:val="baseline"/>
        <w:rPr>
          <w:rFonts w:ascii="宋体" w:hAnsi="宋体" w:cs="宋体"/>
          <w:snapToGrid w:val="0"/>
          <w:color w:val="000000"/>
          <w:spacing w:val="9"/>
          <w:kern w:val="0"/>
          <w:sz w:val="30"/>
          <w:szCs w:val="30"/>
        </w:rPr>
      </w:pPr>
    </w:p>
    <w:p>
      <w:pPr>
        <w:widowControl/>
        <w:kinsoku w:val="0"/>
        <w:autoSpaceDE w:val="0"/>
        <w:autoSpaceDN w:val="0"/>
        <w:adjustRightInd w:val="0"/>
        <w:snapToGrid w:val="0"/>
        <w:spacing w:before="98" w:line="360" w:lineRule="auto"/>
        <w:ind w:firstLine="0" w:firstLineChars="0"/>
        <w:jc w:val="center"/>
        <w:textAlignment w:val="baseline"/>
        <w:rPr>
          <w:rFonts w:ascii="黑体" w:hAnsi="黑体" w:eastAsia="黑体" w:cs="黑体"/>
          <w:sz w:val="28"/>
          <w:szCs w:val="28"/>
        </w:rPr>
        <w:sectPr>
          <w:type w:val="continuous"/>
          <w:pgSz w:w="11922" w:h="16838"/>
          <w:pgMar w:top="1440" w:right="1440" w:bottom="1440" w:left="1440" w:header="850" w:footer="850" w:gutter="0"/>
          <w:cols w:space="0" w:num="1"/>
        </w:sectPr>
      </w:pPr>
      <w:r>
        <w:rPr>
          <w:rFonts w:hint="eastAsia" w:ascii="宋体" w:hAnsi="宋体" w:cs="宋体"/>
          <w:snapToGrid w:val="0"/>
          <w:color w:val="000000"/>
          <w:spacing w:val="9"/>
          <w:kern w:val="0"/>
          <w:sz w:val="30"/>
          <w:szCs w:val="30"/>
        </w:rPr>
        <w:t>安康市渔业协会</w:t>
      </w:r>
      <w:r>
        <w:rPr>
          <w:rFonts w:hint="eastAsia" w:ascii="黑体" w:hAnsi="黑体" w:eastAsia="黑体" w:cs="黑体"/>
          <w:snapToGrid w:val="0"/>
          <w:color w:val="000000"/>
          <w:spacing w:val="9"/>
          <w:kern w:val="0"/>
          <w:sz w:val="28"/>
          <w:szCs w:val="28"/>
        </w:rPr>
        <w:t>发布</w:t>
      </w:r>
    </w:p>
    <w:p>
      <w:pPr>
        <w:pStyle w:val="2"/>
        <w:spacing w:before="240" w:beforeLines="100" w:afterLines="100" w:line="360" w:lineRule="auto"/>
        <w:ind w:firstLine="0" w:firstLineChars="0"/>
        <w:rPr>
          <w:rFonts w:eastAsia="宋体" w:cs="Times New Roman"/>
          <w:sz w:val="24"/>
        </w:rPr>
      </w:pPr>
      <w:bookmarkStart w:id="8" w:name="_Toc4100"/>
      <w:r>
        <w:rPr>
          <w:rStyle w:val="12"/>
          <w:rFonts w:hint="eastAsia" w:ascii="黑体" w:hAnsi="黑体" w:cs="黑体"/>
          <w:b/>
          <w:sz w:val="30"/>
          <w:szCs w:val="30"/>
        </w:rPr>
        <w:t>目</w:t>
      </w:r>
      <w:bookmarkEnd w:id="8"/>
      <w:r>
        <w:rPr>
          <w:rStyle w:val="12"/>
          <w:rFonts w:hint="eastAsia" w:ascii="黑体" w:hAnsi="黑体" w:cs="黑体"/>
          <w:b/>
          <w:sz w:val="30"/>
          <w:szCs w:val="30"/>
        </w:rPr>
        <w:t>次</w:t>
      </w:r>
      <w:r>
        <w:rPr>
          <w:rFonts w:eastAsia="宋体" w:cs="Times New Roman"/>
          <w:sz w:val="24"/>
        </w:rPr>
        <w:fldChar w:fldCharType="begin"/>
      </w:r>
      <w:r>
        <w:rPr>
          <w:rFonts w:eastAsia="宋体" w:cs="Times New Roman"/>
          <w:sz w:val="24"/>
        </w:rPr>
        <w:instrText xml:space="preserve">TOC \o "1-1" \u </w:instrText>
      </w:r>
      <w:r>
        <w:rPr>
          <w:rFonts w:eastAsia="宋体" w:cs="Times New Roman"/>
          <w:sz w:val="24"/>
        </w:rPr>
        <w:fldChar w:fldCharType="separate"/>
      </w:r>
    </w:p>
    <w:p>
      <w:pPr>
        <w:pStyle w:val="8"/>
        <w:spacing w:line="360" w:lineRule="auto"/>
        <w:rPr>
          <w:rFonts w:cs="Times New Roman"/>
          <w:sz w:val="24"/>
        </w:rPr>
      </w:pPr>
      <w:r>
        <w:rPr>
          <w:rFonts w:cs="Times New Roman"/>
          <w:sz w:val="24"/>
        </w:rPr>
        <w:t>前言</w:t>
      </w:r>
      <w:r>
        <w:rPr>
          <w:rFonts w:cs="Times New Roman"/>
          <w:sz w:val="24"/>
        </w:rPr>
        <w:tab/>
      </w:r>
      <w:r>
        <w:rPr>
          <w:rFonts w:cs="Times New Roman"/>
          <w:sz w:val="24"/>
        </w:rPr>
        <w:fldChar w:fldCharType="begin"/>
      </w:r>
      <w:r>
        <w:rPr>
          <w:rFonts w:cs="Times New Roman"/>
          <w:sz w:val="24"/>
        </w:rPr>
        <w:instrText xml:space="preserve"> PAGEREF _Toc14935 \h </w:instrText>
      </w:r>
      <w:r>
        <w:rPr>
          <w:rFonts w:cs="Times New Roman"/>
          <w:sz w:val="24"/>
        </w:rPr>
        <w:fldChar w:fldCharType="separate"/>
      </w:r>
      <w:r>
        <w:rPr>
          <w:rFonts w:cs="Times New Roman"/>
          <w:sz w:val="24"/>
        </w:rPr>
        <w:t>I</w:t>
      </w:r>
      <w:r>
        <w:rPr>
          <w:rFonts w:cs="Times New Roman"/>
          <w:sz w:val="24"/>
        </w:rPr>
        <w:fldChar w:fldCharType="end"/>
      </w:r>
    </w:p>
    <w:p>
      <w:pPr>
        <w:pStyle w:val="8"/>
        <w:spacing w:line="360" w:lineRule="auto"/>
        <w:rPr>
          <w:rFonts w:cs="Times New Roman"/>
          <w:sz w:val="24"/>
        </w:rPr>
      </w:pPr>
      <w:r>
        <w:rPr>
          <w:rFonts w:cs="Times New Roman"/>
          <w:sz w:val="24"/>
        </w:rPr>
        <w:t>引言</w:t>
      </w:r>
      <w:r>
        <w:rPr>
          <w:rFonts w:cs="Times New Roman"/>
          <w:sz w:val="24"/>
        </w:rPr>
        <w:tab/>
      </w:r>
      <w:r>
        <w:rPr>
          <w:rFonts w:cs="Times New Roman"/>
          <w:sz w:val="24"/>
        </w:rPr>
        <w:fldChar w:fldCharType="begin"/>
      </w:r>
      <w:r>
        <w:rPr>
          <w:rFonts w:cs="Times New Roman"/>
          <w:sz w:val="24"/>
        </w:rPr>
        <w:instrText xml:space="preserve"> PAGEREF _Toc9909 \h </w:instrText>
      </w:r>
      <w:r>
        <w:rPr>
          <w:rFonts w:cs="Times New Roman"/>
          <w:sz w:val="24"/>
        </w:rPr>
        <w:fldChar w:fldCharType="separate"/>
      </w:r>
      <w:r>
        <w:rPr>
          <w:rFonts w:cs="Times New Roman"/>
          <w:sz w:val="24"/>
        </w:rPr>
        <w:t>II</w:t>
      </w:r>
      <w:r>
        <w:rPr>
          <w:rFonts w:cs="Times New Roman"/>
          <w:sz w:val="24"/>
        </w:rPr>
        <w:fldChar w:fldCharType="end"/>
      </w:r>
    </w:p>
    <w:p>
      <w:pPr>
        <w:pStyle w:val="8"/>
        <w:spacing w:line="360" w:lineRule="auto"/>
        <w:rPr>
          <w:rFonts w:cs="Times New Roman"/>
          <w:sz w:val="24"/>
        </w:rPr>
      </w:pPr>
      <w:r>
        <w:rPr>
          <w:rFonts w:cs="Times New Roman"/>
          <w:bCs/>
          <w:sz w:val="24"/>
        </w:rPr>
        <w:t>1.范围</w:t>
      </w:r>
      <w:r>
        <w:rPr>
          <w:rFonts w:cs="Times New Roman"/>
          <w:sz w:val="24"/>
        </w:rPr>
        <w:tab/>
      </w:r>
      <w:r>
        <w:rPr>
          <w:rFonts w:cs="Times New Roman"/>
          <w:sz w:val="24"/>
        </w:rPr>
        <w:fldChar w:fldCharType="begin"/>
      </w:r>
      <w:r>
        <w:rPr>
          <w:rFonts w:cs="Times New Roman"/>
          <w:sz w:val="24"/>
        </w:rPr>
        <w:instrText xml:space="preserve"> PAGEREF _Toc23970 \h </w:instrText>
      </w:r>
      <w:r>
        <w:rPr>
          <w:rFonts w:cs="Times New Roman"/>
          <w:sz w:val="24"/>
        </w:rPr>
        <w:fldChar w:fldCharType="separate"/>
      </w:r>
      <w:r>
        <w:rPr>
          <w:rFonts w:cs="Times New Roman"/>
          <w:sz w:val="24"/>
        </w:rPr>
        <w:t>1</w:t>
      </w:r>
      <w:r>
        <w:rPr>
          <w:rFonts w:cs="Times New Roman"/>
          <w:sz w:val="24"/>
        </w:rPr>
        <w:fldChar w:fldCharType="end"/>
      </w:r>
    </w:p>
    <w:p>
      <w:pPr>
        <w:pStyle w:val="8"/>
        <w:spacing w:line="360" w:lineRule="auto"/>
        <w:rPr>
          <w:rFonts w:cs="Times New Roman"/>
          <w:sz w:val="24"/>
        </w:rPr>
      </w:pPr>
      <w:r>
        <w:rPr>
          <w:rFonts w:cs="Times New Roman"/>
          <w:sz w:val="24"/>
        </w:rPr>
        <w:t>2.规范性引用文件</w:t>
      </w:r>
      <w:r>
        <w:rPr>
          <w:rFonts w:cs="Times New Roman"/>
          <w:sz w:val="24"/>
        </w:rPr>
        <w:tab/>
      </w:r>
      <w:r>
        <w:rPr>
          <w:rFonts w:cs="Times New Roman"/>
          <w:sz w:val="24"/>
        </w:rPr>
        <w:fldChar w:fldCharType="begin"/>
      </w:r>
      <w:r>
        <w:rPr>
          <w:rFonts w:cs="Times New Roman"/>
          <w:sz w:val="24"/>
        </w:rPr>
        <w:instrText xml:space="preserve"> PAGEREF _Toc24973 \h </w:instrText>
      </w:r>
      <w:r>
        <w:rPr>
          <w:rFonts w:cs="Times New Roman"/>
          <w:sz w:val="24"/>
        </w:rPr>
        <w:fldChar w:fldCharType="separate"/>
      </w:r>
      <w:r>
        <w:rPr>
          <w:rFonts w:cs="Times New Roman"/>
          <w:sz w:val="24"/>
        </w:rPr>
        <w:t>1</w:t>
      </w:r>
      <w:r>
        <w:rPr>
          <w:rFonts w:cs="Times New Roman"/>
          <w:sz w:val="24"/>
        </w:rPr>
        <w:fldChar w:fldCharType="end"/>
      </w:r>
    </w:p>
    <w:p>
      <w:pPr>
        <w:pStyle w:val="8"/>
        <w:spacing w:line="360" w:lineRule="auto"/>
        <w:rPr>
          <w:rFonts w:cs="Times New Roman"/>
          <w:sz w:val="24"/>
        </w:rPr>
      </w:pPr>
      <w:r>
        <w:rPr>
          <w:rFonts w:cs="Times New Roman"/>
          <w:sz w:val="24"/>
        </w:rPr>
        <w:t>3.术语和定义</w:t>
      </w:r>
      <w:r>
        <w:rPr>
          <w:rFonts w:cs="Times New Roman"/>
          <w:sz w:val="24"/>
        </w:rPr>
        <w:tab/>
      </w:r>
      <w:r>
        <w:rPr>
          <w:rFonts w:cs="Times New Roman"/>
          <w:sz w:val="24"/>
        </w:rPr>
        <w:fldChar w:fldCharType="begin"/>
      </w:r>
      <w:r>
        <w:rPr>
          <w:rFonts w:cs="Times New Roman"/>
          <w:sz w:val="24"/>
        </w:rPr>
        <w:instrText xml:space="preserve"> PAGEREF _Toc13146 \h </w:instrText>
      </w:r>
      <w:r>
        <w:rPr>
          <w:rFonts w:cs="Times New Roman"/>
          <w:sz w:val="24"/>
        </w:rPr>
        <w:fldChar w:fldCharType="separate"/>
      </w:r>
      <w:r>
        <w:rPr>
          <w:rFonts w:cs="Times New Roman"/>
          <w:sz w:val="24"/>
        </w:rPr>
        <w:t>2</w:t>
      </w:r>
      <w:r>
        <w:rPr>
          <w:rFonts w:cs="Times New Roman"/>
          <w:sz w:val="24"/>
        </w:rPr>
        <w:fldChar w:fldCharType="end"/>
      </w:r>
    </w:p>
    <w:p>
      <w:pPr>
        <w:pStyle w:val="8"/>
        <w:spacing w:line="360" w:lineRule="auto"/>
        <w:rPr>
          <w:rFonts w:cs="Times New Roman"/>
          <w:sz w:val="24"/>
        </w:rPr>
      </w:pPr>
      <w:r>
        <w:rPr>
          <w:rFonts w:cs="Times New Roman"/>
          <w:sz w:val="24"/>
        </w:rPr>
        <w:t>4.环境条件</w:t>
      </w:r>
      <w:r>
        <w:rPr>
          <w:rFonts w:cs="Times New Roman"/>
          <w:sz w:val="24"/>
        </w:rPr>
        <w:tab/>
      </w:r>
      <w:r>
        <w:rPr>
          <w:rFonts w:cs="Times New Roman"/>
          <w:sz w:val="24"/>
        </w:rPr>
        <w:fldChar w:fldCharType="begin"/>
      </w:r>
      <w:r>
        <w:rPr>
          <w:rFonts w:cs="Times New Roman"/>
          <w:sz w:val="24"/>
        </w:rPr>
        <w:instrText xml:space="preserve"> PAGEREF _Toc11833 \h </w:instrText>
      </w:r>
      <w:r>
        <w:rPr>
          <w:rFonts w:cs="Times New Roman"/>
          <w:sz w:val="24"/>
        </w:rPr>
        <w:fldChar w:fldCharType="separate"/>
      </w:r>
      <w:r>
        <w:rPr>
          <w:rFonts w:cs="Times New Roman"/>
          <w:sz w:val="24"/>
        </w:rPr>
        <w:t>2</w:t>
      </w:r>
      <w:r>
        <w:rPr>
          <w:rFonts w:cs="Times New Roman"/>
          <w:sz w:val="24"/>
        </w:rPr>
        <w:fldChar w:fldCharType="end"/>
      </w:r>
    </w:p>
    <w:p>
      <w:pPr>
        <w:pStyle w:val="8"/>
        <w:spacing w:line="360" w:lineRule="auto"/>
        <w:rPr>
          <w:rFonts w:cs="Times New Roman"/>
          <w:sz w:val="24"/>
        </w:rPr>
      </w:pPr>
      <w:r>
        <w:rPr>
          <w:rFonts w:cs="Times New Roman"/>
          <w:sz w:val="24"/>
        </w:rPr>
        <w:t>5.技术要求</w:t>
      </w:r>
      <w:r>
        <w:rPr>
          <w:rFonts w:cs="Times New Roman"/>
          <w:sz w:val="24"/>
        </w:rPr>
        <w:tab/>
      </w:r>
      <w:r>
        <w:rPr>
          <w:rFonts w:cs="Times New Roman"/>
          <w:sz w:val="24"/>
        </w:rPr>
        <w:fldChar w:fldCharType="begin"/>
      </w:r>
      <w:r>
        <w:rPr>
          <w:rFonts w:cs="Times New Roman"/>
          <w:sz w:val="24"/>
        </w:rPr>
        <w:instrText xml:space="preserve"> PAGEREF _Toc4597 \h </w:instrText>
      </w:r>
      <w:r>
        <w:rPr>
          <w:rFonts w:cs="Times New Roman"/>
          <w:sz w:val="24"/>
        </w:rPr>
        <w:fldChar w:fldCharType="separate"/>
      </w:r>
      <w:r>
        <w:rPr>
          <w:rFonts w:cs="Times New Roman"/>
          <w:sz w:val="24"/>
        </w:rPr>
        <w:t>3</w:t>
      </w:r>
      <w:r>
        <w:rPr>
          <w:rFonts w:cs="Times New Roman"/>
          <w:sz w:val="24"/>
        </w:rPr>
        <w:fldChar w:fldCharType="end"/>
      </w:r>
    </w:p>
    <w:p>
      <w:pPr>
        <w:tabs>
          <w:tab w:val="left" w:pos="982"/>
          <w:tab w:val="center" w:pos="4677"/>
        </w:tabs>
        <w:ind w:firstLine="0" w:firstLineChars="0"/>
        <w:jc w:val="left"/>
        <w:sectPr>
          <w:headerReference r:id="rId11" w:type="default"/>
          <w:footerReference r:id="rId12" w:type="default"/>
          <w:pgSz w:w="11922" w:h="16838"/>
          <w:pgMar w:top="1440" w:right="1440" w:bottom="1440" w:left="1440" w:header="850" w:footer="850" w:gutter="0"/>
          <w:pgNumType w:fmt="upperRoman" w:start="1"/>
          <w:cols w:space="0" w:num="1"/>
          <w:docGrid w:linePitch="312" w:charSpace="0"/>
        </w:sectPr>
      </w:pPr>
      <w:r>
        <w:rPr>
          <w:rFonts w:cs="Times New Roman"/>
          <w:sz w:val="24"/>
        </w:rPr>
        <w:fldChar w:fldCharType="end"/>
      </w:r>
    </w:p>
    <w:p>
      <w:pPr>
        <w:pStyle w:val="2"/>
        <w:spacing w:before="240" w:beforeLines="100" w:afterLines="100" w:line="360" w:lineRule="auto"/>
        <w:ind w:firstLine="0" w:firstLineChars="0"/>
        <w:rPr>
          <w:rFonts w:ascii="黑体" w:hAnsi="黑体" w:cs="黑体"/>
          <w:szCs w:val="32"/>
        </w:rPr>
      </w:pPr>
      <w:bookmarkStart w:id="9" w:name="_Toc14935"/>
      <w:bookmarkStart w:id="10" w:name="_Toc9220"/>
      <w:r>
        <w:rPr>
          <w:rFonts w:hint="eastAsia" w:ascii="黑体" w:hAnsi="黑体" w:cs="黑体"/>
          <w:szCs w:val="32"/>
        </w:rPr>
        <w:t>前言</w:t>
      </w:r>
      <w:bookmarkEnd w:id="9"/>
      <w:bookmarkEnd w:id="10"/>
    </w:p>
    <w:p>
      <w:pPr>
        <w:spacing w:line="360" w:lineRule="auto"/>
        <w:ind w:firstLine="480"/>
        <w:rPr>
          <w:rFonts w:cs="Times New Roman"/>
          <w:sz w:val="24"/>
        </w:rPr>
      </w:pPr>
      <w:r>
        <w:rPr>
          <w:rFonts w:cs="Times New Roman"/>
          <w:sz w:val="24"/>
        </w:rPr>
        <w:t>本文件按照GB-T1.1-2020《标准化工作导则 第1部分：标准化文件的结构和起草规则》的规定起草。</w:t>
      </w:r>
    </w:p>
    <w:p>
      <w:pPr>
        <w:spacing w:line="360" w:lineRule="auto"/>
        <w:ind w:firstLine="480"/>
        <w:rPr>
          <w:rFonts w:cs="Times New Roman"/>
          <w:sz w:val="24"/>
        </w:rPr>
      </w:pPr>
      <w:r>
        <w:rPr>
          <w:rFonts w:cs="Times New Roman"/>
          <w:sz w:val="24"/>
        </w:rPr>
        <w:t>本文件由安康市渔业协会提出</w:t>
      </w:r>
      <w:r>
        <w:rPr>
          <w:rFonts w:hint="eastAsia" w:cs="Times New Roman"/>
          <w:sz w:val="24"/>
          <w:lang w:eastAsia="zh-CN"/>
        </w:rPr>
        <w:t>并归口</w:t>
      </w:r>
      <w:r>
        <w:rPr>
          <w:rFonts w:cs="Times New Roman"/>
          <w:sz w:val="24"/>
        </w:rPr>
        <w:t>。</w:t>
      </w:r>
    </w:p>
    <w:p>
      <w:pPr>
        <w:spacing w:line="360" w:lineRule="auto"/>
        <w:ind w:firstLine="480"/>
        <w:rPr>
          <w:rFonts w:cs="Times New Roman"/>
          <w:sz w:val="24"/>
        </w:rPr>
      </w:pPr>
      <w:bookmarkStart w:id="35" w:name="_GoBack"/>
      <w:bookmarkEnd w:id="35"/>
      <w:r>
        <w:rPr>
          <w:rFonts w:cs="Times New Roman"/>
          <w:sz w:val="24"/>
        </w:rPr>
        <w:t>本文件起草单位：西北农林科技大学、安康市渔业生产工作站、安康市渔业协会、安康学院</w:t>
      </w:r>
      <w:r>
        <w:rPr>
          <w:rFonts w:hint="eastAsia" w:cs="Times New Roman"/>
          <w:sz w:val="24"/>
        </w:rPr>
        <w:t>。</w:t>
      </w:r>
    </w:p>
    <w:p>
      <w:pPr>
        <w:spacing w:line="360" w:lineRule="auto"/>
        <w:ind w:firstLine="480"/>
        <w:rPr>
          <w:rFonts w:cs="Times New Roman"/>
          <w:sz w:val="24"/>
        </w:rPr>
      </w:pPr>
      <w:r>
        <w:rPr>
          <w:rFonts w:cs="Times New Roman"/>
          <w:sz w:val="24"/>
        </w:rPr>
        <w:t>本文件主要起草人：吉红、李汉东、于海波、王涛、葛春艳、刘辉、朱文东、单世涛、赵卫国、</w:t>
      </w:r>
      <w:r>
        <w:rPr>
          <w:rFonts w:hint="eastAsia" w:cs="Times New Roman"/>
          <w:sz w:val="24"/>
        </w:rPr>
        <w:t>罗先军、</w:t>
      </w:r>
      <w:r>
        <w:rPr>
          <w:rFonts w:cs="Times New Roman"/>
          <w:sz w:val="24"/>
        </w:rPr>
        <w:t>王名扬、李云赫、王刚、胡泽超</w:t>
      </w:r>
      <w:r>
        <w:rPr>
          <w:rFonts w:hint="eastAsia" w:cs="Times New Roman"/>
          <w:sz w:val="24"/>
        </w:rPr>
        <w:t>。</w:t>
      </w:r>
    </w:p>
    <w:p>
      <w:pPr>
        <w:spacing w:line="360" w:lineRule="auto"/>
        <w:ind w:firstLine="480"/>
        <w:rPr>
          <w:rFonts w:cs="Times New Roman"/>
          <w:sz w:val="24"/>
        </w:rPr>
      </w:pPr>
      <w:r>
        <w:rPr>
          <w:rFonts w:cs="Times New Roman"/>
          <w:sz w:val="24"/>
        </w:rPr>
        <w:t>本文件实施中的疑问，可咨询XXX，联系电话，邮箱；对本文件的有关修改意见建议反馈至XXX，联系电话，邮箱。</w:t>
      </w:r>
    </w:p>
    <w:p>
      <w:pPr>
        <w:spacing w:line="360" w:lineRule="auto"/>
        <w:ind w:firstLine="480"/>
        <w:rPr>
          <w:rFonts w:cs="Times New Roman"/>
          <w:sz w:val="24"/>
        </w:rPr>
        <w:sectPr>
          <w:footerReference r:id="rId13" w:type="default"/>
          <w:pgSz w:w="11922" w:h="16838"/>
          <w:pgMar w:top="1440" w:right="1440" w:bottom="1440" w:left="1440" w:header="850" w:footer="850" w:gutter="0"/>
          <w:pgNumType w:fmt="upperRoman" w:start="1"/>
          <w:cols w:space="0" w:num="1"/>
          <w:docGrid w:linePitch="312" w:charSpace="0"/>
        </w:sectPr>
      </w:pPr>
      <w:r>
        <w:rPr>
          <w:rFonts w:cs="Times New Roman"/>
          <w:sz w:val="24"/>
        </w:rPr>
        <w:t>本标准于2024年首次发布，于XXXX年XX月XX日起实施。</w:t>
      </w:r>
    </w:p>
    <w:p>
      <w:pPr>
        <w:pStyle w:val="2"/>
        <w:ind w:firstLine="0" w:firstLineChars="0"/>
      </w:pPr>
      <w:bookmarkStart w:id="11" w:name="_Toc9909"/>
      <w:bookmarkStart w:id="12" w:name="_Toc6908"/>
      <w:r>
        <w:rPr>
          <w:rFonts w:hint="eastAsia"/>
        </w:rPr>
        <w:t>引言</w:t>
      </w:r>
      <w:bookmarkEnd w:id="11"/>
      <w:bookmarkEnd w:id="12"/>
    </w:p>
    <w:p>
      <w:pPr>
        <w:spacing w:line="360" w:lineRule="auto"/>
        <w:rPr>
          <w:rFonts w:cs="Times New Roman"/>
          <w:szCs w:val="21"/>
        </w:rPr>
        <w:sectPr>
          <w:pgSz w:w="11922" w:h="16838"/>
          <w:pgMar w:top="1440" w:right="1440" w:bottom="1440" w:left="1440" w:header="850" w:footer="850" w:gutter="0"/>
          <w:pgNumType w:fmt="upperRoman"/>
          <w:cols w:space="0" w:num="1"/>
          <w:docGrid w:linePitch="312" w:charSpace="0"/>
        </w:sectPr>
      </w:pPr>
      <w:r>
        <w:rPr>
          <w:rFonts w:cs="Times New Roman"/>
          <w:szCs w:val="21"/>
        </w:rPr>
        <w:t>稻渔综合种养是我国乡村振兴战略中的重要产业之一，它采用生态循环农业模式，既保证了粮食生产的稳定性，又提高了经济效益，同时还具有环境友好性。在安康市的实际生产过程中，各地根据实际情况，对传统的稻渔综合种养模式进行了创新，通过在水稻和鱼种收获后种植油菜，形成了具有地方特色的稻渔油综合种养模式。然而，安康市各地的认识和技术发展水平存在差异，这在一定程度上制约了稻渔油综合种养模式的效益和发展。因此，为充分发挥安康市稻渔油综合种养的优势，提升产业的可持续发展能力，我们有必要制定一套统一的技术规范，明确关键技术指标和要求，为安康市稻渔油综合种养的生产提供标准化、规范化的技术指导。这将有助于确保稻渔油综合种养的稳定发展和生态环保效益的充分发挥，推动产业的健康可持续发展。</w:t>
      </w:r>
    </w:p>
    <w:p>
      <w:pPr>
        <w:pStyle w:val="2"/>
        <w:spacing w:before="240" w:beforeLines="100" w:afterLines="100" w:line="360" w:lineRule="auto"/>
        <w:ind w:firstLine="0" w:firstLineChars="0"/>
      </w:pPr>
      <w:bookmarkStart w:id="13" w:name="_Toc5811"/>
      <w:bookmarkStart w:id="14" w:name="_Toc13980"/>
      <w:r>
        <w:rPr>
          <w:rFonts w:hint="eastAsia"/>
        </w:rPr>
        <w:t>安康市稻渔油综合种养标准</w:t>
      </w:r>
      <w:bookmarkEnd w:id="13"/>
      <w:bookmarkEnd w:id="14"/>
    </w:p>
    <w:p>
      <w:pPr>
        <w:pStyle w:val="3"/>
        <w:spacing w:before="240" w:after="240"/>
      </w:pPr>
      <w:bookmarkStart w:id="15" w:name="_Toc21968"/>
      <w:bookmarkStart w:id="16" w:name="_Toc23970"/>
      <w:r>
        <w:rPr>
          <w:rFonts w:hint="eastAsia"/>
        </w:rPr>
        <w:t>1 范围</w:t>
      </w:r>
      <w:bookmarkEnd w:id="15"/>
      <w:bookmarkEnd w:id="16"/>
    </w:p>
    <w:p>
      <w:r>
        <w:rPr>
          <w:rFonts w:hint="eastAsia"/>
        </w:rPr>
        <w:t>文件规定了安康市稻渔油综合种养的术语和定义、环境条件、田间工程、水稻种植、鱼类养殖、油菜种植等技术要求，描述了相应的证实或追溯方法。本文件适用于安康市稻渔油综合种养。</w:t>
      </w:r>
    </w:p>
    <w:p/>
    <w:p>
      <w:pPr>
        <w:pStyle w:val="3"/>
        <w:spacing w:before="240" w:after="240"/>
      </w:pPr>
      <w:bookmarkStart w:id="17" w:name="_Toc1767"/>
      <w:bookmarkStart w:id="18" w:name="_Toc24973"/>
      <w:r>
        <w:rPr>
          <w:rFonts w:hint="eastAsia"/>
        </w:rPr>
        <w:t>2 规范性引用文件</w:t>
      </w:r>
      <w:bookmarkEnd w:id="17"/>
      <w:bookmarkEnd w:id="18"/>
    </w:p>
    <w:p>
      <w:r>
        <w:rPr>
          <w:rFonts w:hint="eastAsia"/>
        </w:rPr>
        <w:t>下列文件对于本文件的应用是必不可少的。凡是注日期的引用文件，仅所注日期的版本适用于本文件。凡是不注日期的引用文件，其最新版本（包括所有的修改单）适用于本文件。</w:t>
      </w:r>
    </w:p>
    <w:p>
      <w:r>
        <w:rPr>
          <w:rFonts w:hint="eastAsia"/>
        </w:rPr>
        <w:t>GB/T 43508-2023 稻渔综合种养通用技术要求</w:t>
      </w:r>
    </w:p>
    <w:p>
      <w:bookmarkStart w:id="19" w:name="OLE_LINK3"/>
      <w:r>
        <w:rPr>
          <w:rFonts w:hint="eastAsia"/>
        </w:rPr>
        <w:t xml:space="preserve">GB 11607-1989 </w:t>
      </w:r>
      <w:bookmarkEnd w:id="19"/>
      <w:r>
        <w:rPr>
          <w:rFonts w:hint="eastAsia"/>
        </w:rPr>
        <w:t>渔业水质标准</w:t>
      </w:r>
    </w:p>
    <w:p>
      <w:r>
        <w:rPr>
          <w:rFonts w:hint="eastAsia"/>
        </w:rPr>
        <w:t>GB 13078-2017 饲料卫生标准</w:t>
      </w:r>
    </w:p>
    <w:p>
      <w:r>
        <w:rPr>
          <w:rFonts w:hint="eastAsia"/>
        </w:rPr>
        <w:t>GB 4407.2-2008 经济作物种子 第2部分：油料类</w:t>
      </w:r>
    </w:p>
    <w:p>
      <w:bookmarkStart w:id="20" w:name="OLE_LINK4"/>
      <w:r>
        <w:rPr>
          <w:rFonts w:hint="eastAsia"/>
        </w:rPr>
        <w:t>GB/T 22213-2008</w:t>
      </w:r>
      <w:bookmarkEnd w:id="20"/>
      <w:r>
        <w:rPr>
          <w:rFonts w:hint="eastAsia"/>
        </w:rPr>
        <w:t xml:space="preserve"> 水产养殖术语</w:t>
      </w:r>
    </w:p>
    <w:p>
      <w:r>
        <w:rPr>
          <w:rFonts w:hint="eastAsia"/>
        </w:rPr>
        <w:t>GB/T 36782-2018 鲤鱼配合饲料</w:t>
      </w:r>
    </w:p>
    <w:p>
      <w:r>
        <w:rPr>
          <w:rFonts w:hint="eastAsia"/>
        </w:rPr>
        <w:t>NY 5072-2002  无公害食品 渔用配合饲料安全限量</w:t>
      </w:r>
    </w:p>
    <w:p>
      <w:r>
        <w:rPr>
          <w:rFonts w:hint="eastAsia"/>
        </w:rPr>
        <w:t>NY/T 496-2010 肥料合理使用准则 通则</w:t>
      </w:r>
    </w:p>
    <w:p>
      <w:r>
        <w:rPr>
          <w:rFonts w:hint="eastAsia"/>
        </w:rPr>
        <w:t>NY/T 1868-2021  肥料合理使用准则 有机肥料</w:t>
      </w:r>
    </w:p>
    <w:p>
      <w:r>
        <w:rPr>
          <w:rFonts w:hint="eastAsia"/>
        </w:rPr>
        <w:t>NY/T 391-2021 绿色食品产地环境质量</w:t>
      </w:r>
    </w:p>
    <w:p>
      <w:r>
        <w:rPr>
          <w:rFonts w:hint="eastAsia"/>
        </w:rPr>
        <w:t>NY/T 1276-2007 农药安全使用规范总则</w:t>
      </w:r>
    </w:p>
    <w:p>
      <w:r>
        <w:rPr>
          <w:rFonts w:hint="eastAsia"/>
        </w:rPr>
        <w:t>NY/T 5117-2002无公害食品 水稻生产技术规程</w:t>
      </w:r>
    </w:p>
    <w:p>
      <w:r>
        <w:rPr>
          <w:rFonts w:hint="eastAsia"/>
        </w:rPr>
        <w:t>GB 4404.1-2008 粮食作物种子第1部分：禾谷类</w:t>
      </w:r>
    </w:p>
    <w:p>
      <w:r>
        <w:rPr>
          <w:rFonts w:hint="eastAsia"/>
        </w:rPr>
        <w:t>NY/T 5361-2016 无公害农产品 淡水养殖产地环境条件</w:t>
      </w:r>
    </w:p>
    <w:p>
      <w:bookmarkStart w:id="21" w:name="OLE_LINK10"/>
      <w:r>
        <w:rPr>
          <w:rFonts w:hint="eastAsia"/>
        </w:rPr>
        <w:t>NY 5071-2002</w:t>
      </w:r>
      <w:bookmarkEnd w:id="21"/>
      <w:r>
        <w:rPr>
          <w:rFonts w:hint="eastAsia"/>
        </w:rPr>
        <w:t xml:space="preserve"> 无公害食品 渔用药物使用准则</w:t>
      </w:r>
    </w:p>
    <w:p>
      <w:r>
        <w:rPr>
          <w:rFonts w:hint="eastAsia"/>
        </w:rPr>
        <w:t>SC/T 1075-2006 鱼苗、鱼种运输通用技术要求</w:t>
      </w:r>
    </w:p>
    <w:p>
      <w:r>
        <w:rPr>
          <w:rFonts w:hint="eastAsia"/>
        </w:rPr>
        <w:t>SC/T 1135.1稻渔综合种养技术规范第1部分：通则</w:t>
      </w:r>
    </w:p>
    <w:p>
      <w:r>
        <w:rPr>
          <w:rFonts w:hint="eastAsia"/>
        </w:rPr>
        <w:t>SC/T 1135.4-2020 稻渔综合种养技术规范 第4部分：稻虾（克氏原螯虾）</w:t>
      </w:r>
    </w:p>
    <w:p>
      <w:r>
        <w:rPr>
          <w:rFonts w:hint="eastAsia"/>
        </w:rPr>
        <w:t>SC/T 1135.7 稻渔综合种养技术规范第7部分：稻鲤（山丘型）</w:t>
      </w:r>
    </w:p>
    <w:p>
      <w:bookmarkStart w:id="22" w:name="OLE_LINK6"/>
      <w:r>
        <w:rPr>
          <w:rFonts w:hint="eastAsia"/>
        </w:rPr>
        <w:t>SC/T 1135.8-2023</w:t>
      </w:r>
      <w:bookmarkEnd w:id="22"/>
      <w:r>
        <w:rPr>
          <w:rFonts w:hint="eastAsia"/>
        </w:rPr>
        <w:t xml:space="preserve"> 稻渔综合种养技术规范 第8部分：稻鲤:（平原型）</w:t>
      </w:r>
    </w:p>
    <w:p>
      <w:pPr>
        <w:rPr>
          <w:rFonts w:hAnsi="宋体"/>
          <w:szCs w:val="21"/>
        </w:rPr>
      </w:pPr>
      <w:bookmarkStart w:id="23" w:name="OLE_LINK9"/>
      <w:r>
        <w:rPr>
          <w:rFonts w:hint="eastAsia" w:hAnsi="宋体"/>
          <w:szCs w:val="21"/>
        </w:rPr>
        <w:t>GB/T 8321.2-2000 农药合理使用准则（二）</w:t>
      </w:r>
    </w:p>
    <w:p>
      <w:pPr>
        <w:rPr>
          <w:rFonts w:hAnsi="宋体"/>
          <w:szCs w:val="21"/>
        </w:rPr>
      </w:pPr>
      <w:r>
        <w:rPr>
          <w:rFonts w:hint="eastAsia" w:hAnsi="宋体"/>
          <w:szCs w:val="21"/>
        </w:rPr>
        <w:t>GB/T 8321.5-2006 农药合理使用准则（五）</w:t>
      </w:r>
    </w:p>
    <w:p>
      <w:pPr>
        <w:rPr>
          <w:rFonts w:hAnsi="宋体"/>
          <w:szCs w:val="21"/>
        </w:rPr>
      </w:pPr>
      <w:r>
        <w:rPr>
          <w:rFonts w:hint="eastAsia" w:hAnsi="宋体"/>
          <w:szCs w:val="21"/>
        </w:rPr>
        <w:t>GB/T 8321.6-2000 农药合理使用准则（六）</w:t>
      </w:r>
    </w:p>
    <w:p>
      <w:pPr>
        <w:rPr>
          <w:rFonts w:hAnsi="宋体"/>
          <w:szCs w:val="21"/>
        </w:rPr>
      </w:pPr>
      <w:r>
        <w:rPr>
          <w:rFonts w:hint="eastAsia" w:hAnsi="宋体"/>
          <w:szCs w:val="21"/>
        </w:rPr>
        <w:t>GB/T 8321.8-2007 农药合理使用准则（八）</w:t>
      </w:r>
    </w:p>
    <w:p>
      <w:pPr>
        <w:rPr>
          <w:rFonts w:hAnsi="宋体"/>
          <w:szCs w:val="21"/>
        </w:rPr>
      </w:pPr>
      <w:r>
        <w:rPr>
          <w:rFonts w:hint="eastAsia" w:hAnsi="宋体"/>
          <w:szCs w:val="21"/>
        </w:rPr>
        <w:t>GB/T 8321.9-2009 农药合理使用准则（九）</w:t>
      </w:r>
    </w:p>
    <w:p>
      <w:pPr>
        <w:rPr>
          <w:rFonts w:hAnsi="宋体"/>
          <w:szCs w:val="21"/>
        </w:rPr>
      </w:pPr>
      <w:r>
        <w:rPr>
          <w:rFonts w:hint="eastAsia" w:hAnsi="宋体"/>
          <w:szCs w:val="21"/>
        </w:rPr>
        <w:t>GB/T 8321.10-2018 农药合理使用准则（十）</w:t>
      </w:r>
    </w:p>
    <w:p>
      <w:pPr>
        <w:rPr>
          <w:rFonts w:hAnsi="宋体"/>
          <w:szCs w:val="21"/>
        </w:rPr>
      </w:pPr>
      <w:r>
        <w:rPr>
          <w:rFonts w:hint="eastAsia" w:hAnsi="宋体"/>
          <w:szCs w:val="21"/>
        </w:rPr>
        <w:t>DB61/T 1392-2020油菜生产机械化技术规程</w:t>
      </w:r>
    </w:p>
    <w:p>
      <w:r>
        <w:t>NY/T 1868-2021</w:t>
      </w:r>
    </w:p>
    <w:p>
      <w:r>
        <w:rPr>
          <w:rFonts w:hint="eastAsia"/>
        </w:rPr>
        <w:t>NY/T 1229 旋耕施肥播种联合作业机 作业质量</w:t>
      </w:r>
    </w:p>
    <w:p>
      <w:r>
        <w:rPr>
          <w:rFonts w:hint="eastAsia"/>
        </w:rPr>
        <w:t>NY/T 391-2021 肥料合理使用准则 有机肥料</w:t>
      </w:r>
    </w:p>
    <w:p>
      <w:r>
        <w:rPr>
          <w:rFonts w:hint="eastAsia" w:hAnsi="宋体"/>
          <w:szCs w:val="21"/>
        </w:rPr>
        <w:t>NY/T 414  低芥酸低硫苷油菜种子</w:t>
      </w:r>
    </w:p>
    <w:p>
      <w:r>
        <w:rPr>
          <w:rFonts w:hint="eastAsia" w:hAnsi="宋体"/>
          <w:szCs w:val="21"/>
        </w:rPr>
        <w:t>NY/T 415  低芥酸低硫苷油菜籽</w:t>
      </w:r>
    </w:p>
    <w:p>
      <w:pPr>
        <w:rPr>
          <w:rFonts w:hAnsi="宋体"/>
          <w:szCs w:val="21"/>
        </w:rPr>
      </w:pPr>
      <w:r>
        <w:rPr>
          <w:rFonts w:hint="eastAsia" w:hAnsi="宋体"/>
          <w:szCs w:val="21"/>
        </w:rPr>
        <w:t>NY/T 1087 油菜籽干燥与储藏技术规程</w:t>
      </w:r>
    </w:p>
    <w:bookmarkEnd w:id="23"/>
    <w:p/>
    <w:p/>
    <w:p>
      <w:pPr>
        <w:pStyle w:val="3"/>
        <w:spacing w:before="240" w:after="240"/>
      </w:pPr>
      <w:bookmarkStart w:id="24" w:name="_Toc13146"/>
      <w:bookmarkStart w:id="25" w:name="_Toc22716"/>
      <w:r>
        <w:rPr>
          <w:rFonts w:hint="eastAsia"/>
        </w:rPr>
        <w:t>3 术语和定义</w:t>
      </w:r>
      <w:bookmarkEnd w:id="24"/>
      <w:bookmarkEnd w:id="25"/>
    </w:p>
    <w:p>
      <w:r>
        <w:rPr>
          <w:rFonts w:hint="eastAsia"/>
        </w:rPr>
        <w:t>GB/T 43508-2023、GB/T 22213-2008、</w:t>
      </w:r>
      <w:bookmarkStart w:id="26" w:name="OLE_LINK5"/>
      <w:r>
        <w:rPr>
          <w:rFonts w:hint="eastAsia"/>
        </w:rPr>
        <w:t>SC/T 1135.1、SC/T 1135.7</w:t>
      </w:r>
      <w:bookmarkEnd w:id="26"/>
      <w:r>
        <w:rPr>
          <w:rFonts w:hint="eastAsia"/>
        </w:rPr>
        <w:t>、SC/T 1135.8-2023、</w:t>
      </w:r>
      <w:r>
        <w:t>DB1405/T 025-2022</w:t>
      </w:r>
      <w:r>
        <w:rPr>
          <w:rFonts w:hint="eastAsia"/>
        </w:rPr>
        <w:t>、</w:t>
      </w:r>
      <w:r>
        <w:t>DB5304/T 051-2021</w:t>
      </w:r>
      <w:r>
        <w:rPr>
          <w:rFonts w:hint="eastAsia"/>
        </w:rPr>
        <w:t>界定的术语和定义，以及下列术语和定义适用于本文件。</w:t>
      </w:r>
    </w:p>
    <w:p>
      <w:pPr>
        <w:pStyle w:val="3"/>
        <w:spacing w:before="240" w:after="240"/>
      </w:pPr>
      <w:bookmarkStart w:id="27" w:name="_Hlk153268979"/>
      <w:r>
        <w:rPr>
          <w:rFonts w:hint="eastAsia"/>
        </w:rPr>
        <w:t xml:space="preserve">3.1稻渔综合种养 </w:t>
      </w:r>
    </w:p>
    <w:bookmarkEnd w:id="27"/>
    <w:p>
      <w:bookmarkStart w:id="28" w:name="OLE_LINK8"/>
      <w:r>
        <w:rPr>
          <w:rFonts w:hint="eastAsia"/>
        </w:rPr>
        <w:t>利用稻田将水稻种植与水产养殖相结合的一种生态循环农业生产模式。利用稻田的浅水环境和丰富的生物资源，在稻田中投放一定数量的水生动物，水生动物游动觅食，摄食稻田中的杂草、害虫和浮游生物，同时排泄粪便，起到浑水耘田、控虫防病、增肥促长等效果，实现稻田生态系统物质的循环利用和能量的多级流动。</w:t>
      </w:r>
    </w:p>
    <w:bookmarkEnd w:id="28"/>
    <w:p>
      <w:pPr>
        <w:pStyle w:val="3"/>
        <w:spacing w:before="240" w:after="240"/>
      </w:pPr>
      <w:r>
        <w:rPr>
          <w:rFonts w:hint="eastAsia"/>
        </w:rPr>
        <w:t>3.</w:t>
      </w:r>
      <w:r>
        <w:t>2</w:t>
      </w:r>
      <w:r>
        <w:rPr>
          <w:rFonts w:hint="eastAsia"/>
        </w:rPr>
        <w:t xml:space="preserve"> 稻渔油综合种养 </w:t>
      </w:r>
    </w:p>
    <w:p>
      <w:r>
        <w:rPr>
          <w:rFonts w:hint="eastAsia"/>
        </w:rPr>
        <w:t>根据生态循环农业和生态经济学原理，将水稻、油菜的种植与水产动物的养殖有机结合，在传统稻渔综合种养模式的基础上，在水稻和水产动物收获后至来年再次种养水稻和水生动物期间进行油菜种植，构建稻渔油共作轮作系统，在稻鱼稳产的基础上，提高土地利用率、稻田经济效益和农民收入，提升稻田产品质量安全水平，改善稻田生态环境的一种现代生态循环农业发展模式。</w:t>
      </w:r>
    </w:p>
    <w:p>
      <w:pPr>
        <w:pStyle w:val="3"/>
        <w:spacing w:before="240" w:after="240"/>
      </w:pPr>
      <w:r>
        <w:rPr>
          <w:rFonts w:hint="eastAsia"/>
        </w:rPr>
        <w:t>3</w:t>
      </w:r>
      <w:r>
        <w:t xml:space="preserve">.2 </w:t>
      </w:r>
      <w:r>
        <w:rPr>
          <w:rFonts w:hint="eastAsia"/>
        </w:rPr>
        <w:t xml:space="preserve">共生 </w:t>
      </w:r>
    </w:p>
    <w:p>
      <w:r>
        <w:rPr>
          <w:rFonts w:hint="eastAsia"/>
        </w:rPr>
        <w:t>在同一稻田同时种植水稻和养殖水产动物的生产方式。</w:t>
      </w:r>
    </w:p>
    <w:p>
      <w:pPr>
        <w:pStyle w:val="3"/>
        <w:spacing w:before="240" w:after="240"/>
      </w:pPr>
      <w:r>
        <w:rPr>
          <w:rFonts w:hint="eastAsia"/>
        </w:rPr>
        <w:t>3</w:t>
      </w:r>
      <w:r>
        <w:t xml:space="preserve">.3 </w:t>
      </w:r>
      <w:r>
        <w:rPr>
          <w:rFonts w:hint="eastAsia"/>
        </w:rPr>
        <w:t>鱼坑</w:t>
      </w:r>
    </w:p>
    <w:p>
      <w:r>
        <w:rPr>
          <w:rFonts w:hint="eastAsia"/>
        </w:rPr>
        <w:t>在养鱼稻田中开挖的集鱼坑，用于水产动物养殖和繁殖等生命活动的凼。</w:t>
      </w:r>
    </w:p>
    <w:p>
      <w:pPr>
        <w:pStyle w:val="3"/>
        <w:spacing w:before="240" w:after="240"/>
      </w:pPr>
      <w:r>
        <w:rPr>
          <w:rFonts w:hint="eastAsia"/>
        </w:rPr>
        <w:t>3</w:t>
      </w:r>
      <w:r>
        <w:t xml:space="preserve">.4 </w:t>
      </w:r>
      <w:r>
        <w:rPr>
          <w:rFonts w:hint="eastAsia"/>
        </w:rPr>
        <w:t>鱼沟</w:t>
      </w:r>
    </w:p>
    <w:p>
      <w:r>
        <w:rPr>
          <w:rFonts w:hint="eastAsia"/>
        </w:rPr>
        <w:t>在养鱼的稻田中，开挖通溜的沟道，用于水产动物养殖和繁殖等生命活动的沟。根据田块的大小和生产需要，形状呈“一”、“口”、“井”、“十”、“工”等。</w:t>
      </w:r>
    </w:p>
    <w:p>
      <w:pPr>
        <w:pStyle w:val="3"/>
        <w:spacing w:before="240" w:afterLines="0"/>
      </w:pPr>
      <w:r>
        <w:rPr>
          <w:rFonts w:hint="eastAsia"/>
        </w:rPr>
        <w:t>3.</w:t>
      </w:r>
      <w:r>
        <w:t xml:space="preserve">5 </w:t>
      </w:r>
      <w:r>
        <w:rPr>
          <w:rFonts w:hint="eastAsia"/>
        </w:rPr>
        <w:t>稻油轮作</w:t>
      </w:r>
    </w:p>
    <w:p>
      <w:r>
        <w:rPr>
          <w:rFonts w:hint="eastAsia"/>
        </w:rPr>
        <w:t>在同一稻田内按照一定的季节顺序轮换种植水稻和油菜的种植方式。</w:t>
      </w:r>
    </w:p>
    <w:p>
      <w:pPr>
        <w:pStyle w:val="3"/>
        <w:spacing w:before="240" w:after="240"/>
      </w:pPr>
      <w:bookmarkStart w:id="29" w:name="_Toc11833"/>
      <w:bookmarkStart w:id="30" w:name="_Toc16483"/>
      <w:r>
        <w:rPr>
          <w:rFonts w:eastAsia="宋体"/>
        </w:rPr>
        <w:t xml:space="preserve">4 </w:t>
      </w:r>
      <w:r>
        <w:rPr>
          <w:rFonts w:hint="eastAsia"/>
        </w:rPr>
        <w:t>环境条件</w:t>
      </w:r>
      <w:bookmarkEnd w:id="29"/>
      <w:bookmarkEnd w:id="30"/>
    </w:p>
    <w:p>
      <w:pPr>
        <w:pStyle w:val="3"/>
        <w:spacing w:before="240" w:after="240"/>
      </w:pPr>
      <w:r>
        <w:rPr>
          <w:rFonts w:hint="eastAsia"/>
        </w:rPr>
        <w:t>4.1 产地环境及水源</w:t>
      </w:r>
    </w:p>
    <w:p>
      <w:r>
        <w:rPr>
          <w:rFonts w:hint="eastAsia"/>
        </w:rPr>
        <w:t>选择光照充足、保水保肥、排灌和交通条件较好的壤土或黏土稻田。水源充沛，水质应符合NY/T 5361-2016的要求。</w:t>
      </w:r>
    </w:p>
    <w:p>
      <w:pPr>
        <w:pStyle w:val="3"/>
        <w:spacing w:before="240" w:after="240"/>
      </w:pPr>
      <w:r>
        <w:rPr>
          <w:rFonts w:hint="eastAsia"/>
        </w:rPr>
        <w:t>4.2 养殖条件</w:t>
      </w:r>
    </w:p>
    <w:p>
      <w:r>
        <w:rPr>
          <w:rFonts w:hint="eastAsia"/>
        </w:rPr>
        <w:t>选择地势平坦稳当，相对规整、集中连片，面积规模适中的稻田，地形可以是梯田或集中连片</w:t>
      </w:r>
      <w:r>
        <w:rPr>
          <w:rFonts w:hint="eastAsia"/>
          <w:color w:val="000000" w:themeColor="text1"/>
          <w14:textFill>
            <w14:solidFill>
              <w14:schemeClr w14:val="tx1"/>
            </w14:solidFill>
          </w14:textFill>
        </w:rPr>
        <w:t>类似平原的田地。</w:t>
      </w:r>
      <w:bookmarkStart w:id="31" w:name="_Toc4597"/>
      <w:bookmarkStart w:id="32" w:name="_Toc3242"/>
    </w:p>
    <w:p>
      <w:pPr>
        <w:pStyle w:val="3"/>
        <w:spacing w:before="240" w:after="240"/>
      </w:pPr>
      <w:r>
        <w:rPr>
          <w:rFonts w:hint="eastAsia"/>
        </w:rPr>
        <w:t>5 技术要求</w:t>
      </w:r>
      <w:bookmarkEnd w:id="31"/>
      <w:bookmarkEnd w:id="32"/>
    </w:p>
    <w:p>
      <w:pPr>
        <w:pStyle w:val="3"/>
        <w:spacing w:before="240" w:after="240"/>
      </w:pPr>
      <w:r>
        <w:rPr>
          <w:rFonts w:hint="eastAsia"/>
        </w:rPr>
        <w:t>5.1 稻田工程</w:t>
      </w:r>
    </w:p>
    <w:p>
      <w:pPr>
        <w:pStyle w:val="3"/>
        <w:spacing w:before="240" w:after="240"/>
      </w:pPr>
      <w:r>
        <w:rPr>
          <w:rFonts w:hint="eastAsia"/>
        </w:rPr>
        <w:t>5.1.1 田间工程</w:t>
      </w:r>
    </w:p>
    <w:p>
      <w:r>
        <w:rPr>
          <w:rFonts w:hint="eastAsia"/>
        </w:rPr>
        <w:t>鱼沟和鱼坑开挖面积之和应小于稻田总面积的10%，其中鱼沟面积占3%~5%。</w:t>
      </w:r>
    </w:p>
    <w:p>
      <w:r>
        <w:rPr>
          <w:rFonts w:hint="eastAsia"/>
        </w:rPr>
        <w:t>山丘型：插秧前整田除草，起沟，沟深50~60cm，宽60~80cm，对水源较差或鱼产量要求较高的田块，鱼沟深1m、宽1.2m左右。田埂高度30 cm～50 cm，宽度应大于50 cm，保水防塌。鱼沟的形状可根据稻田面积大小挖成“口”字、“十”字等字形。鱼坑可为圆形、正方形等，具体视田块形状、大小等自然条件而定，位置可选择在稻田的进水口处或适当位置开挖，深度以不漏水为标准，一般深1.0m~1.2m。</w:t>
      </w:r>
    </w:p>
    <w:p/>
    <w:p>
      <w:r>
        <w:rPr>
          <w:rFonts w:hint="eastAsia"/>
        </w:rPr>
        <w:t>平原型：田块面积大于0.33 hm</w:t>
      </w:r>
      <w:r>
        <w:rPr>
          <w:rFonts w:hint="eastAsia"/>
          <w:vertAlign w:val="superscript"/>
        </w:rPr>
        <w:t>2</w:t>
      </w:r>
      <w:r>
        <w:rPr>
          <w:rFonts w:hint="eastAsia"/>
        </w:rPr>
        <w:t>，采用沟坑结合形式；田块小于0.33 hm</w:t>
      </w:r>
      <w:r>
        <w:rPr>
          <w:rFonts w:hint="eastAsia"/>
          <w:vertAlign w:val="superscript"/>
        </w:rPr>
        <w:t>2</w:t>
      </w:r>
      <w:r>
        <w:rPr>
          <w:rFonts w:hint="eastAsia"/>
        </w:rPr>
        <w:t>，采用只开沟不设鱼坑形式。</w:t>
      </w:r>
      <w:r>
        <w:t>鱼沟采用木制建筑板，大建筑板长2</w:t>
      </w:r>
      <w:r>
        <w:rPr>
          <w:rFonts w:hint="eastAsia"/>
        </w:rPr>
        <w:t xml:space="preserve"> m</w:t>
      </w:r>
      <w:r>
        <w:t>，宽1m</w:t>
      </w:r>
      <w:r>
        <w:rPr>
          <w:rFonts w:hint="eastAsia"/>
        </w:rPr>
        <w:t>~</w:t>
      </w:r>
      <w:r>
        <w:t>1.5m</w:t>
      </w:r>
      <w:r>
        <w:rPr>
          <w:rFonts w:hint="eastAsia"/>
        </w:rPr>
        <w:t>，</w:t>
      </w:r>
      <w:r>
        <w:t>采用竹片将其固定于稻田中，两块大建筑板之间用长0.4m</w:t>
      </w:r>
      <w:r>
        <w:rPr>
          <w:rFonts w:hint="eastAsia"/>
        </w:rPr>
        <w:t>~</w:t>
      </w:r>
      <w:r>
        <w:t>0.6m、宽0.8m</w:t>
      </w:r>
      <w:r>
        <w:rPr>
          <w:rFonts w:hint="eastAsia"/>
        </w:rPr>
        <w:t>~</w:t>
      </w:r>
      <w:r>
        <w:t>1.3m的小建筑板隔离，大建筑板上沿与稻田水面同高或略高，小建筑板上沿与耕作层同高或略高</w:t>
      </w:r>
      <w:r>
        <w:rPr>
          <w:rFonts w:hint="eastAsia"/>
        </w:rPr>
        <w:t>，有利</w:t>
      </w:r>
      <w:r>
        <w:t>鱼随时进出鱼沟，方便投喂</w:t>
      </w:r>
      <w:r>
        <w:rPr>
          <w:rFonts w:hint="eastAsia"/>
        </w:rPr>
        <w:t>和</w:t>
      </w:r>
      <w:r>
        <w:t>捕捞。建筑板搭建距田边1m</w:t>
      </w:r>
      <w:r>
        <w:rPr>
          <w:rFonts w:hint="eastAsia"/>
        </w:rPr>
        <w:t>，</w:t>
      </w:r>
      <w:r>
        <w:t>搭建好后将建筑板与田埂之间的土层转移开，保证鱼沟水深0.5m</w:t>
      </w:r>
      <w:r>
        <w:rPr>
          <w:rFonts w:hint="eastAsia"/>
        </w:rPr>
        <w:t>~</w:t>
      </w:r>
      <w:r>
        <w:t>1.0m。</w:t>
      </w:r>
    </w:p>
    <w:p>
      <w:r>
        <w:rPr>
          <w:rFonts w:hint="eastAsia"/>
        </w:rPr>
        <w:t>同时，留出农机通道，安康市土层薄，可铺设塑料保水防塌。田埂加高、加宽、加固田埂，田埂高于稻田厢面30 cm～50 cm，上顶宽大于50 cm，坡比1:1.25。具体</w:t>
      </w:r>
      <w:r>
        <w:t>不同面积稻田适宜的鱼沟宽、深和形状</w:t>
      </w:r>
      <w:r>
        <w:rPr>
          <w:rFonts w:hint="eastAsia"/>
        </w:rPr>
        <w:t>参照GB/T 43508-2023、</w:t>
      </w:r>
      <w:r>
        <w:rPr>
          <w:rFonts w:hint="eastAsia"/>
          <w:sz w:val="22"/>
          <w:szCs w:val="28"/>
        </w:rPr>
        <w:t>SC/T 1135.7</w:t>
      </w:r>
      <w:r>
        <w:rPr>
          <w:rFonts w:hint="eastAsia"/>
        </w:rPr>
        <w:t xml:space="preserve">和SC/T 1135.8-2023中要求执行  </w:t>
      </w:r>
    </w:p>
    <w:p>
      <w:pPr>
        <w:pStyle w:val="3"/>
        <w:spacing w:before="240" w:after="240"/>
      </w:pPr>
      <w:r>
        <w:rPr>
          <w:rFonts w:hint="eastAsia"/>
        </w:rPr>
        <w:t>5.1.2 进排水设施</w:t>
      </w:r>
    </w:p>
    <w:p>
      <w:pPr>
        <w:rPr>
          <w:rFonts w:hint="eastAsia"/>
        </w:rPr>
      </w:pPr>
      <w:r>
        <w:rPr>
          <w:rFonts w:hint="eastAsia"/>
        </w:rPr>
        <w:t>山丘型：利用梯田的高低落差之势，水源由高到低形成自流。进排水口宜设在田块长边对角线的两端，进水口设在鱼沟的高端，其底部高出田面10 cm，排水口设在鱼沟低端，底部应略低于田面或设在鱼坑池底，进排水口大小根据稻田排水量而定。不同田块间的进排水口可串联或独立设置。同时根据田块大小，在排水口附近设1~3个溢水口，调节稻田水位。</w:t>
      </w:r>
    </w:p>
    <w:p>
      <w:r>
        <w:rPr>
          <w:rFonts w:hint="eastAsia"/>
        </w:rPr>
        <w:t>平原型：若为类似平原的田地，应修建地势高于田地的灌水渠，各田块与水渠接壤处，同样需在地底下埋设直径为15 cm的水管，保证水渠中的水自然流入田间。进排水口设置位置与山丘梯田型要求一致，每20~30亩田地设置一个进、排水口。同时，其排水设施需满足水稻和油菜种植的需要。</w:t>
      </w:r>
    </w:p>
    <w:p>
      <w:pPr>
        <w:pStyle w:val="3"/>
        <w:spacing w:before="240" w:after="240"/>
      </w:pPr>
      <w:r>
        <w:rPr>
          <w:rFonts w:hint="eastAsia"/>
        </w:rPr>
        <w:t>5.1.3 防逃设施</w:t>
      </w:r>
    </w:p>
    <w:p>
      <w:r>
        <w:rPr>
          <w:rFonts w:hint="eastAsia"/>
        </w:rPr>
        <w:t>在进排水口均应设置拦鱼栅，安装入泥深度为20 cm~35 cm。山丘型：拦鱼栅宽120 cm，高80 cm为宜。孔径应根据投放的鱼种规格而定，宜为0.5 cm~1.4 cm；平原型：拦鱼栅宽度为进排水口宽度的2倍，并高出田埂，密疏以鱼不能外逃为宜。</w:t>
      </w:r>
    </w:p>
    <w:p>
      <w:pPr>
        <w:pStyle w:val="3"/>
        <w:spacing w:before="120" w:beforeLines="50" w:after="120" w:afterLines="50"/>
      </w:pPr>
      <w:r>
        <w:rPr>
          <w:rFonts w:hint="eastAsia"/>
        </w:rPr>
        <w:t>5.2 水稻栽培</w:t>
      </w:r>
    </w:p>
    <w:p>
      <w:pPr>
        <w:pStyle w:val="3"/>
        <w:spacing w:before="120" w:beforeLines="50" w:after="120" w:afterLines="50"/>
        <w:rPr>
          <w:rFonts w:eastAsia="宋体"/>
        </w:rPr>
      </w:pPr>
      <w:r>
        <w:rPr>
          <w:rFonts w:hint="eastAsia" w:eastAsia="宋体"/>
        </w:rPr>
        <w:t>5.2.1品种选择</w:t>
      </w:r>
    </w:p>
    <w:p>
      <w:r>
        <w:rPr>
          <w:rFonts w:hint="eastAsia"/>
        </w:rPr>
        <w:t>水稻品种按照SC/T 1135.1的规定执行，选用通过国家或地方审定并在当地示范成功的优质、高产水稻品种，全生育期110d~153d，生育条件能与当地自然气候特点相吻合，种子质量应符合GB 4404.1规定。</w:t>
      </w:r>
    </w:p>
    <w:p>
      <w:pPr>
        <w:pStyle w:val="3"/>
        <w:spacing w:before="120" w:beforeLines="50" w:after="120" w:afterLines="50"/>
        <w:rPr>
          <w:rFonts w:eastAsia="宋体"/>
        </w:rPr>
      </w:pPr>
      <w:r>
        <w:rPr>
          <w:rFonts w:hint="eastAsia" w:eastAsia="宋体"/>
        </w:rPr>
        <w:t>5.2.2育苗技术</w:t>
      </w:r>
    </w:p>
    <w:p>
      <w:r>
        <w:rPr>
          <w:rFonts w:hint="eastAsia"/>
        </w:rPr>
        <w:t>结合安康气温特点，育秧一般在4月清明节前后，可采用湿润育秧或直播（播种推迟15d~20d）。</w:t>
      </w:r>
    </w:p>
    <w:p>
      <w:pPr>
        <w:pStyle w:val="3"/>
        <w:spacing w:before="120" w:beforeLines="50" w:after="120" w:afterLines="50"/>
        <w:rPr>
          <w:rFonts w:eastAsia="宋体"/>
        </w:rPr>
      </w:pPr>
      <w:r>
        <w:rPr>
          <w:rFonts w:hint="eastAsia" w:eastAsia="宋体"/>
        </w:rPr>
        <w:t>5.2.2.1秧床制作</w:t>
      </w:r>
    </w:p>
    <w:p>
      <w:r>
        <w:rPr>
          <w:rFonts w:hint="eastAsia"/>
        </w:rPr>
        <w:t>湿润育秧选择地势平坦、阳光充足、排灌方便、肥力中等的秧田，播种前1周制作秧床，达到“耕透整平、耙烂拾净”的标准，配合整地亩用基肥500kg~750kg腐熟人粪尿或20kg复合肥撒于畦面，使肥料与表土混合，秧床制作好灌水4cm~6cm，保持4d~5d后排水播种。播种前2d再亩施碳酸氢铵15kg-20kg、氯化钾5kg~7.5kg。</w:t>
      </w:r>
    </w:p>
    <w:p>
      <w:pPr>
        <w:pStyle w:val="3"/>
        <w:spacing w:before="120" w:beforeLines="50" w:after="120" w:afterLines="50"/>
        <w:rPr>
          <w:rFonts w:eastAsia="宋体"/>
        </w:rPr>
      </w:pPr>
      <w:r>
        <w:rPr>
          <w:rFonts w:hint="eastAsia" w:eastAsia="宋体"/>
        </w:rPr>
        <w:t>5.2.2.2浸种催芽与播种</w:t>
      </w:r>
    </w:p>
    <w:p>
      <w:r>
        <w:rPr>
          <w:rFonts w:hint="eastAsia"/>
        </w:rPr>
        <w:t>浸种前选择晴天晒种1d~2d（每天翻动3~4次），需要时可用清水或比重为1.05盐水选种，采用25℃~30℃温水浸种24h（中途搅拌几次），吸水量达到种子自身重量的40%左右为佳。</w:t>
      </w:r>
    </w:p>
    <w:p>
      <w:r>
        <w:rPr>
          <w:rFonts w:hint="eastAsia"/>
        </w:rPr>
        <w:t>将浸种好的种子置于30℃~32℃高温条件下1d~2d进行破胸（露白），之后温度降低到25~30℃继续催芽12~14h至芽长0.2cm左右；将出芽的种子于室温条件下摊成薄层，让其散热降温，待稻谷催芽达到“根长一粒谷、芽长半粒谷”标准时（切忌催芽过长）即可抢晴播种。播种时按畦定量均匀播种，泥浆落谷，轻轻压种，下陷半粒种芽，用谷壳灰或山土灰盖种。育秧时温度较低或不稳定需加盖薄膜，若遇低温寒潮，不易播种。</w:t>
      </w:r>
    </w:p>
    <w:p>
      <w:pPr>
        <w:pStyle w:val="3"/>
        <w:spacing w:before="120" w:beforeLines="50" w:after="120" w:afterLines="50"/>
        <w:rPr>
          <w:rFonts w:eastAsia="宋体"/>
        </w:rPr>
      </w:pPr>
      <w:r>
        <w:rPr>
          <w:rFonts w:hint="eastAsia" w:eastAsia="宋体"/>
        </w:rPr>
        <w:t>5.2.2.3育苗管理</w:t>
      </w:r>
    </w:p>
    <w:p>
      <w:r>
        <w:rPr>
          <w:rFonts w:hint="eastAsia"/>
        </w:rPr>
        <w:t>播种至一叶一心期畦面保持湿润（注意遇高温畦面积水出现烫种），做到晴天满沟水、阴天半沟水、雨天排干水，水不上畦面（若畦面过干龟裂，可于旁晚灌一次跑马水），若膜内温度超过35℃，要揭开薄膜两端通风降温，至30℃在封闭保温，此期亩施尿素5kg作为断奶肥；</w:t>
      </w:r>
    </w:p>
    <w:p>
      <w:r>
        <w:rPr>
          <w:rFonts w:hint="eastAsia"/>
        </w:rPr>
        <w:t>一叶一心至3叶期宜湿润与浅灌相结合，膜内温度以25℃~30℃为宜，并逐渐增加通风（由两头揭膜到单边揭膜或日揭夜盖），通风时先灌浅水上畦面再揭膜；</w:t>
      </w:r>
    </w:p>
    <w:p>
      <w:r>
        <w:rPr>
          <w:rFonts w:hint="eastAsia"/>
        </w:rPr>
        <w:t>3叶期至移栽保持浅水层不淹没心叶，经4d~5d炼苗后，苗高达10cm左右，气温稳定在15℃便可灌水揭膜，此期在移栽前3d~5d，亩施尿素3kg~7kg作为“送嫁肥”。</w:t>
      </w:r>
    </w:p>
    <w:p>
      <w:r>
        <w:rPr>
          <w:rFonts w:hint="eastAsia"/>
        </w:rPr>
        <w:t>直播播种要求按NY/T 5117-2002执行。</w:t>
      </w:r>
    </w:p>
    <w:p>
      <w:pPr>
        <w:pStyle w:val="3"/>
        <w:spacing w:before="120" w:beforeLines="50" w:after="120" w:afterLines="50"/>
        <w:rPr>
          <w:rFonts w:eastAsia="宋体"/>
        </w:rPr>
      </w:pPr>
      <w:r>
        <w:rPr>
          <w:rFonts w:hint="eastAsia" w:eastAsia="宋体"/>
        </w:rPr>
        <w:t>5.2.3水稻插秧</w:t>
      </w:r>
    </w:p>
    <w:p>
      <w:pPr>
        <w:pStyle w:val="3"/>
        <w:spacing w:before="120" w:beforeLines="50" w:after="120" w:afterLines="50"/>
        <w:rPr>
          <w:rFonts w:eastAsia="宋体"/>
        </w:rPr>
      </w:pPr>
      <w:r>
        <w:rPr>
          <w:rFonts w:hint="eastAsia" w:eastAsia="宋体"/>
        </w:rPr>
        <w:t>5.2.3.1稻田清整</w:t>
      </w:r>
    </w:p>
    <w:p>
      <w:r>
        <w:rPr>
          <w:rFonts w:hint="eastAsia"/>
        </w:rPr>
        <w:t>结合整地施入基肥，基肥以有机肥或复合肥料为主，肥料使用应符合NY/T 496-2010、NY/T 1868-2021、NY/T 5117-2002中要求。田面整平耙细，</w:t>
      </w:r>
      <w:bookmarkStart w:id="33" w:name="OLE_LINK1"/>
      <w:r>
        <w:rPr>
          <w:rFonts w:hint="eastAsia"/>
        </w:rPr>
        <w:t>翻耕深度17cm~22cm为宜，土肥相融，土壤膨软，田面高低差不超过3 cm</w:t>
      </w:r>
      <w:bookmarkEnd w:id="33"/>
      <w:r>
        <w:rPr>
          <w:rFonts w:hint="eastAsia"/>
        </w:rPr>
        <w:t>。</w:t>
      </w:r>
    </w:p>
    <w:p>
      <w:pPr>
        <w:pStyle w:val="3"/>
        <w:spacing w:before="120" w:beforeLines="50" w:after="120" w:afterLines="50"/>
        <w:rPr>
          <w:rFonts w:eastAsia="宋体"/>
        </w:rPr>
      </w:pPr>
      <w:r>
        <w:rPr>
          <w:rFonts w:hint="eastAsia" w:eastAsia="宋体"/>
        </w:rPr>
        <w:t>5.2.3.2 移栽</w:t>
      </w:r>
    </w:p>
    <w:p>
      <w:r>
        <w:rPr>
          <w:rFonts w:hint="eastAsia"/>
        </w:rPr>
        <w:t>秧苗栽插时间以当地生产季节为准，日平均温度稳定在15℃以上，一般在5月中旬前后，适时早插。插秧可采用人工或机器插秧，人工插秧做到浅、匀、直、稳效果好；机插秧栽插深度，大苗（4~5叶）3cm~4cm为宜，小苗（2~3叶）1cm~2cm，一般比手插多1~2株，减少漏苗。移栽密度适宜，每亩1.2~1.7万穴，常规稻穴插4~5株，杂交稻穴插1-2株，提倡宽行窄株或宽窄行种植，具体应符合NY/T 5117-2002中规定。</w:t>
      </w:r>
    </w:p>
    <w:p>
      <w:pPr>
        <w:pStyle w:val="3"/>
        <w:spacing w:before="120" w:beforeLines="50" w:after="120" w:afterLines="50"/>
        <w:rPr>
          <w:rFonts w:eastAsia="宋体"/>
        </w:rPr>
      </w:pPr>
      <w:r>
        <w:rPr>
          <w:rFonts w:hint="eastAsia" w:eastAsia="宋体"/>
        </w:rPr>
        <w:t>5.2.4田间管理</w:t>
      </w:r>
    </w:p>
    <w:p>
      <w:pPr>
        <w:pStyle w:val="3"/>
        <w:spacing w:before="120" w:beforeLines="50" w:after="120" w:afterLines="50"/>
        <w:rPr>
          <w:rFonts w:eastAsia="宋体"/>
        </w:rPr>
      </w:pPr>
      <w:r>
        <w:rPr>
          <w:rFonts w:hint="eastAsia" w:eastAsia="宋体"/>
        </w:rPr>
        <w:t>5.2.4.1稻田消毒放苗</w:t>
      </w:r>
    </w:p>
    <w:p>
      <w:r>
        <w:rPr>
          <w:rFonts w:hint="eastAsia"/>
        </w:rPr>
        <w:t>放鱼苗前10d~15d，用生石灰、漂白粉等进行除杂消毒，符合NY 5071-2002的规定，放鱼苗宜早不宜迟，一般在插完秧（7d~20d)返青前后，以延长鱼类在稻田的生长期。</w:t>
      </w:r>
    </w:p>
    <w:p>
      <w:pPr>
        <w:pStyle w:val="3"/>
        <w:spacing w:before="120" w:beforeLines="50" w:after="120" w:afterLines="50"/>
        <w:rPr>
          <w:rFonts w:eastAsia="宋体"/>
        </w:rPr>
      </w:pPr>
      <w:r>
        <w:rPr>
          <w:rFonts w:hint="eastAsia" w:eastAsia="宋体"/>
        </w:rPr>
        <w:t>5.2.4.2肥水管理</w:t>
      </w:r>
    </w:p>
    <w:p>
      <w:r>
        <w:rPr>
          <w:rFonts w:hint="eastAsia"/>
        </w:rPr>
        <w:t>待田间有效分蘖数达到预期群体80%要适时晒田，浅晒3d~5d，晒田或追肥前，应先排浅田水，缓慢排水促使水产动物进入鱼沟和鱼坑中，以利肥料沉积于泥中和根系吸收，随即加水至田水正常深度。灌溉用水符合NY/T 5361-2016中要求。</w:t>
      </w:r>
    </w:p>
    <w:p>
      <w:pPr>
        <w:pStyle w:val="3"/>
        <w:spacing w:before="120" w:beforeLines="50" w:after="120" w:afterLines="50"/>
        <w:rPr>
          <w:rFonts w:eastAsia="宋体"/>
        </w:rPr>
      </w:pPr>
      <w:r>
        <w:rPr>
          <w:rFonts w:hint="eastAsia" w:eastAsia="宋体"/>
        </w:rPr>
        <w:t>5.2.4.2.1分蘖期水分管理</w:t>
      </w:r>
    </w:p>
    <w:p>
      <w:pPr>
        <w:widowControl/>
        <w:jc w:val="left"/>
      </w:pPr>
      <w:r>
        <w:rPr>
          <w:rFonts w:hint="eastAsia" w:ascii="宋体" w:hAnsi="宋体" w:cs="宋体"/>
          <w:color w:val="000000"/>
          <w:kern w:val="0"/>
          <w:szCs w:val="21"/>
        </w:rPr>
        <w:t>苗期田间保持1cm</w:t>
      </w:r>
      <w:r>
        <w:rPr>
          <w:rFonts w:hint="eastAsia"/>
        </w:rPr>
        <w:t>~</w:t>
      </w:r>
      <w:r>
        <w:rPr>
          <w:rFonts w:hint="eastAsia" w:ascii="宋体" w:hAnsi="宋体" w:cs="宋体"/>
          <w:color w:val="000000"/>
          <w:kern w:val="0"/>
          <w:szCs w:val="21"/>
        </w:rPr>
        <w:t>2cm浅水层促分蘖，具体符合</w:t>
      </w:r>
      <w:r>
        <w:rPr>
          <w:rFonts w:hint="eastAsia"/>
        </w:rPr>
        <w:t>NY/T 5117-2002规定。</w:t>
      </w:r>
    </w:p>
    <w:p>
      <w:pPr>
        <w:pStyle w:val="3"/>
        <w:spacing w:before="120" w:beforeLines="50" w:after="120" w:afterLines="50"/>
        <w:rPr>
          <w:rFonts w:eastAsia="宋体"/>
        </w:rPr>
      </w:pPr>
      <w:r>
        <w:rPr>
          <w:rFonts w:hint="eastAsia" w:eastAsia="宋体"/>
        </w:rPr>
        <w:t>5.2.4.2.2孕穗、 抽穗期水分管理</w:t>
      </w:r>
    </w:p>
    <w:p>
      <w:r>
        <w:rPr>
          <w:rFonts w:hint="eastAsia"/>
        </w:rPr>
        <w:t>孕穗期和抽穗期，田间保持2cm~3cm深水层</w:t>
      </w:r>
      <w:r>
        <w:rPr>
          <w:rFonts w:hint="eastAsia" w:ascii="宋体" w:hAnsi="宋体" w:cs="宋体"/>
          <w:color w:val="000000"/>
          <w:kern w:val="0"/>
          <w:szCs w:val="21"/>
        </w:rPr>
        <w:t>，具体符合</w:t>
      </w:r>
      <w:r>
        <w:rPr>
          <w:rFonts w:hint="eastAsia"/>
        </w:rPr>
        <w:t>NY/T 5117-2002规定。</w:t>
      </w:r>
    </w:p>
    <w:p>
      <w:pPr>
        <w:pStyle w:val="3"/>
        <w:spacing w:before="120" w:beforeLines="50" w:after="120" w:afterLines="50"/>
        <w:rPr>
          <w:rFonts w:eastAsia="宋体"/>
        </w:rPr>
      </w:pPr>
      <w:r>
        <w:rPr>
          <w:rFonts w:hint="eastAsia" w:eastAsia="宋体"/>
        </w:rPr>
        <w:t>5.2.4.2.3灌浆期水分管理</w:t>
      </w:r>
    </w:p>
    <w:p>
      <w:r>
        <w:rPr>
          <w:rFonts w:hint="eastAsia"/>
        </w:rPr>
        <w:t>灌浆期田间干湿交替，后水不见前水</w:t>
      </w:r>
      <w:r>
        <w:rPr>
          <w:rFonts w:hint="eastAsia" w:ascii="宋体" w:hAnsi="宋体" w:cs="宋体"/>
          <w:color w:val="000000"/>
          <w:kern w:val="0"/>
          <w:szCs w:val="21"/>
        </w:rPr>
        <w:t>，具体符合</w:t>
      </w:r>
      <w:r>
        <w:rPr>
          <w:rFonts w:hint="eastAsia"/>
        </w:rPr>
        <w:t>NY/T 5117-2002规定。</w:t>
      </w:r>
    </w:p>
    <w:p>
      <w:pPr>
        <w:pStyle w:val="3"/>
        <w:spacing w:before="120" w:beforeLines="50" w:after="120" w:afterLines="50"/>
        <w:rPr>
          <w:rFonts w:eastAsia="宋体"/>
        </w:rPr>
      </w:pPr>
      <w:r>
        <w:rPr>
          <w:rFonts w:hint="eastAsia" w:eastAsia="宋体"/>
        </w:rPr>
        <w:t>5.2.4.2.4追肥管理</w:t>
      </w:r>
    </w:p>
    <w:p>
      <w:r>
        <w:rPr>
          <w:rFonts w:hint="eastAsia"/>
        </w:rPr>
        <w:t>提倡测土施肥，以目标产量所需全氮量的40%确定追肥用量。并可在水稻生长灌浆期使用水稻专用有机硒肥来提高水稻品质。</w:t>
      </w:r>
    </w:p>
    <w:p>
      <w:pPr>
        <w:pStyle w:val="3"/>
        <w:spacing w:before="120" w:beforeLines="50" w:after="120" w:afterLines="50"/>
        <w:rPr>
          <w:rFonts w:eastAsia="宋体"/>
        </w:rPr>
      </w:pPr>
      <w:r>
        <w:rPr>
          <w:rFonts w:hint="eastAsia" w:eastAsia="宋体"/>
        </w:rPr>
        <w:t>5.2.4.2.4.1分蘖肥</w:t>
      </w:r>
    </w:p>
    <w:p>
      <w:r>
        <w:rPr>
          <w:rFonts w:hint="eastAsia"/>
        </w:rPr>
        <w:t>水稻4.5叶龄～5.0叶龄时及时追施分蘖肥，追施全氮量的30%，每亩追施45%氮磷钾复合肥（N-P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O有效成分含量均为15%）10 kg~15 kg，追施时应根据苗势增减，遵循旺苗少追、弱苗多追的原则</w:t>
      </w:r>
      <w:r>
        <w:rPr>
          <w:rFonts w:hint="eastAsia" w:ascii="宋体" w:hAnsi="宋体" w:cs="宋体"/>
          <w:color w:val="000000"/>
          <w:kern w:val="0"/>
          <w:szCs w:val="21"/>
        </w:rPr>
        <w:t>，具体符合</w:t>
      </w:r>
      <w:r>
        <w:rPr>
          <w:rFonts w:hint="eastAsia"/>
        </w:rPr>
        <w:t>NY/T 5117-2002规定。</w:t>
      </w:r>
    </w:p>
    <w:p>
      <w:pPr>
        <w:pStyle w:val="3"/>
        <w:spacing w:before="120" w:beforeLines="50" w:after="120" w:afterLines="50"/>
        <w:rPr>
          <w:rFonts w:eastAsia="宋体"/>
        </w:rPr>
      </w:pPr>
      <w:r>
        <w:rPr>
          <w:rFonts w:hint="eastAsia" w:eastAsia="宋体"/>
        </w:rPr>
        <w:t>5.2.4.2.4.2 穗肥</w:t>
      </w:r>
    </w:p>
    <w:p>
      <w:r>
        <w:rPr>
          <w:rFonts w:hint="eastAsia"/>
        </w:rPr>
        <w:t>孕穗初期（倒3叶期），追施全氮量的10%，每亩追施45%氮磷钾复合肥（N-P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O有效成分含量均为15%）3 kg~5 kg，旺长田追施钾肥，不追施氮肥；病害中的田块先治病后追肥</w:t>
      </w:r>
      <w:r>
        <w:rPr>
          <w:rFonts w:hint="eastAsia" w:ascii="宋体" w:hAnsi="宋体" w:cs="宋体"/>
          <w:color w:val="000000"/>
          <w:kern w:val="0"/>
          <w:szCs w:val="21"/>
        </w:rPr>
        <w:t>，具体符合</w:t>
      </w:r>
      <w:r>
        <w:rPr>
          <w:rFonts w:hint="eastAsia"/>
        </w:rPr>
        <w:t>NY/T 5117-2002规定。</w:t>
      </w:r>
    </w:p>
    <w:p>
      <w:pPr>
        <w:pStyle w:val="3"/>
        <w:spacing w:before="120" w:beforeLines="50" w:after="120" w:afterLines="50"/>
        <w:rPr>
          <w:rFonts w:eastAsia="宋体"/>
        </w:rPr>
      </w:pPr>
      <w:r>
        <w:rPr>
          <w:rFonts w:hint="eastAsia" w:eastAsia="宋体"/>
        </w:rPr>
        <w:t>5.2.4.2.4.3叶面肥</w:t>
      </w:r>
    </w:p>
    <w:p>
      <w:r>
        <w:rPr>
          <w:rFonts w:hint="eastAsia"/>
        </w:rPr>
        <w:t>灌浆期追施叶面肥，补充水稻必需的营养元素，促进其光合作用，增强抗病、抗旱、抗寒能力</w:t>
      </w:r>
      <w:r>
        <w:rPr>
          <w:rFonts w:hint="eastAsia" w:ascii="宋体" w:hAnsi="宋体" w:cs="宋体"/>
          <w:color w:val="000000"/>
          <w:kern w:val="0"/>
          <w:szCs w:val="21"/>
        </w:rPr>
        <w:t>，具体符合</w:t>
      </w:r>
      <w:r>
        <w:rPr>
          <w:rFonts w:hint="eastAsia"/>
        </w:rPr>
        <w:t>NY/T 5117-2002规定。</w:t>
      </w:r>
    </w:p>
    <w:p>
      <w:pPr>
        <w:pStyle w:val="3"/>
        <w:spacing w:before="120" w:beforeLines="50" w:after="120" w:afterLines="50"/>
        <w:rPr>
          <w:rFonts w:eastAsia="宋体"/>
        </w:rPr>
      </w:pPr>
      <w:r>
        <w:rPr>
          <w:rFonts w:hint="eastAsia" w:eastAsia="宋体"/>
        </w:rPr>
        <w:t>5.2.4.3病虫害综合防治</w:t>
      </w:r>
    </w:p>
    <w:p>
      <w:r>
        <w:rPr>
          <w:rFonts w:hint="eastAsia" w:ascii="宋体" w:hAnsi="宋体" w:cs="宋体"/>
          <w:color w:val="000000"/>
          <w:kern w:val="0"/>
          <w:szCs w:val="21"/>
        </w:rPr>
        <w:t>应符合</w:t>
      </w:r>
      <w:r>
        <w:rPr>
          <w:rFonts w:hint="eastAsia"/>
        </w:rPr>
        <w:t>NY/T 5117-2002、NY/T 1276-2007规定。</w:t>
      </w:r>
    </w:p>
    <w:p>
      <w:pPr>
        <w:pStyle w:val="3"/>
        <w:spacing w:before="120" w:beforeLines="50" w:after="120" w:afterLines="50"/>
        <w:rPr>
          <w:rFonts w:eastAsia="宋体"/>
        </w:rPr>
      </w:pPr>
      <w:r>
        <w:rPr>
          <w:rFonts w:hint="eastAsia" w:eastAsia="宋体"/>
        </w:rPr>
        <w:t>5.2.4.4水稻收获</w:t>
      </w:r>
    </w:p>
    <w:p>
      <w:r>
        <w:rPr>
          <w:rFonts w:hint="eastAsia" w:ascii="宋体" w:hAnsi="宋体" w:cs="宋体"/>
          <w:color w:val="000000"/>
          <w:kern w:val="0"/>
          <w:szCs w:val="21"/>
        </w:rPr>
        <w:t>应符合</w:t>
      </w:r>
      <w:r>
        <w:rPr>
          <w:rFonts w:hint="eastAsia"/>
        </w:rPr>
        <w:t>NY/T 5117-2002、NY/T 1276-2007规定。</w:t>
      </w:r>
    </w:p>
    <w:p>
      <w:pPr>
        <w:pStyle w:val="3"/>
        <w:spacing w:before="240" w:after="240"/>
      </w:pPr>
      <w:r>
        <w:rPr>
          <w:rFonts w:hint="eastAsia"/>
        </w:rPr>
        <w:t>5.3 水产养殖</w:t>
      </w:r>
    </w:p>
    <w:p>
      <w:pPr>
        <w:pStyle w:val="3"/>
        <w:spacing w:before="240" w:after="240"/>
      </w:pPr>
      <w:r>
        <w:rPr>
          <w:rFonts w:hint="eastAsia"/>
        </w:rPr>
        <w:t>5.3.1 品种选择</w:t>
      </w:r>
    </w:p>
    <w:p>
      <w:r>
        <w:rPr>
          <w:rFonts w:hint="eastAsia"/>
        </w:rPr>
        <w:t>品种主要考虑鲤、草鱼和克氏原螯虾，苗种来源于合法的苗种生产经营单位（优先选择本地具有水产苗种生产经营许可证的企业），经检疫合格，保留采购单据和检疫合格证明。运输苗种包装运输方法应符合SC/T 1075-2006的规定，运输用水符合GB 11607-1989 的规定。</w:t>
      </w:r>
    </w:p>
    <w:p>
      <w:pPr>
        <w:pStyle w:val="3"/>
        <w:spacing w:before="240" w:after="240"/>
      </w:pPr>
      <w:r>
        <w:rPr>
          <w:rFonts w:hint="eastAsia"/>
        </w:rPr>
        <w:t>5.3.2 放养时间</w:t>
      </w:r>
    </w:p>
    <w:p>
      <w:r>
        <w:rPr>
          <w:rFonts w:hint="eastAsia"/>
        </w:rPr>
        <w:t>鱼种应选择晴天清晨或傍晚放养，放养前后水温差不宜超过3℃。秧苗插秧后10 d放养鲤、草鱼；5月上旬，在秧苗返青后，投放克氏原螯虾幼虾。</w:t>
      </w:r>
    </w:p>
    <w:p>
      <w:pPr>
        <w:pStyle w:val="3"/>
        <w:spacing w:before="240" w:after="240"/>
      </w:pPr>
      <w:r>
        <w:rPr>
          <w:rFonts w:hint="eastAsia"/>
        </w:rPr>
        <w:t>5.3.3 放养前处理</w:t>
      </w:r>
    </w:p>
    <w:p>
      <w:r>
        <w:rPr>
          <w:rFonts w:hint="eastAsia"/>
        </w:rPr>
        <w:t>鱼种放养前用3%～5%的食盐水浸浴5 min~10 min。</w:t>
      </w:r>
    </w:p>
    <w:p>
      <w:pPr>
        <w:pStyle w:val="3"/>
        <w:spacing w:before="240" w:after="240"/>
      </w:pPr>
      <w:r>
        <w:rPr>
          <w:rFonts w:hint="eastAsia"/>
        </w:rPr>
        <w:t>5.3.4 放养密度</w:t>
      </w:r>
    </w:p>
    <w:p>
      <w:r>
        <w:rPr>
          <w:rFonts w:hint="eastAsia"/>
        </w:rPr>
        <w:t>放养鲤、草鱼苗密度100~200尾/亩，放养规格250 g /尾。</w:t>
      </w:r>
    </w:p>
    <w:p>
      <w:r>
        <w:rPr>
          <w:rFonts w:hint="eastAsia"/>
        </w:rPr>
        <w:t>克氏原螯虾质量、规格符合SC/T 1135.4-2020的要求。投放第幼虾时，规格3 cm~4 cm的幼虾，投放量宜为6000只/亩～8000只/亩；规格4 cm~5 cm的幼虾，投放量宜为5000只/亩~6000只/亩。</w:t>
      </w:r>
    </w:p>
    <w:p>
      <w:pPr>
        <w:pStyle w:val="3"/>
        <w:spacing w:before="240" w:after="240"/>
      </w:pPr>
      <w:r>
        <w:rPr>
          <w:rFonts w:hint="eastAsia"/>
        </w:rPr>
        <w:t>5.4 鱼病及生物敌害防治</w:t>
      </w:r>
    </w:p>
    <w:p>
      <w:r>
        <w:rPr>
          <w:rFonts w:hint="eastAsia"/>
        </w:rPr>
        <w:t>以防为主，防治结合。严禁施用抗菌类和杀虫类渔用药物，严格控制消毒类、水质改良类渔用药物施用。</w:t>
      </w:r>
    </w:p>
    <w:p>
      <w:r>
        <w:rPr>
          <w:rFonts w:hint="eastAsia"/>
        </w:rPr>
        <w:t>水稻病虫害防治以生态防治为主，每个田块或鱼坑附近宜安装太阳能灭虫灯、利用性诱剂或种植香根草等植物以诱捕昆虫。采用生物防虫技术，</w:t>
      </w:r>
      <w:bookmarkStart w:id="34" w:name="OLE_LINK2"/>
      <w:r>
        <w:rPr>
          <w:rFonts w:hint="eastAsia"/>
        </w:rPr>
        <w:t>每10~30亩配置一个风吸式太阳能杀虫灯，杀虫效果在连片使用时显著。</w:t>
      </w:r>
    </w:p>
    <w:bookmarkEnd w:id="34"/>
    <w:p>
      <w:r>
        <w:rPr>
          <w:rFonts w:hint="eastAsia"/>
        </w:rPr>
        <w:t>在养殖中遇到杂草和病虫害威胁水稻生长时（尤其在稻谷快成熟时），可以选用有机农药、生物杀菌剂、灯光诱杀和粘虫板进行防治。农药使用应符合NY/T 5117-2002、NY/T 1276-2007的要求。</w:t>
      </w:r>
    </w:p>
    <w:p>
      <w:r>
        <w:rPr>
          <w:rFonts w:hint="eastAsia"/>
        </w:rPr>
        <w:t>对飞鸟、老鼠、蛇等生物敌害，应采取驱逐、围栏等方法进行防控。</w:t>
      </w:r>
    </w:p>
    <w:p>
      <w:pPr>
        <w:pStyle w:val="3"/>
        <w:spacing w:before="240" w:after="240"/>
      </w:pPr>
      <w:r>
        <w:rPr>
          <w:rFonts w:hint="eastAsia"/>
        </w:rPr>
        <w:t>5.5 田间管理</w:t>
      </w:r>
    </w:p>
    <w:p>
      <w:r>
        <w:rPr>
          <w:rFonts w:hint="eastAsia"/>
        </w:rPr>
        <w:t>坚持定期巡田，注意防洪、防逃、防敌害等；在高温季节，应定期补水或换水，保持水质稳定，确保安全生产。雨季应注意检查田埂和防逃设施，及时疏通鱼沟。</w:t>
      </w:r>
    </w:p>
    <w:p>
      <w:r>
        <w:rPr>
          <w:rFonts w:hint="eastAsia"/>
        </w:rPr>
        <w:t>鲤、草鱼：鱼种放养后，以摄食天然饵料为主，视鱼种长势，可适当投喂人工配合饲料，投喂的饲料应符合GB 13078-2017和GB/T 36782-2018的规定。在高温季节应定时补水，稻田水位控制在25 cm左右。</w:t>
      </w:r>
    </w:p>
    <w:p>
      <w:r>
        <w:rPr>
          <w:rFonts w:hint="eastAsia"/>
        </w:rPr>
        <w:t>克氏原螯虾：水稻种植之前，水草面积控制在田面面积的30%~50%，水草过多时及时割除，水草不足时及时补充。高温季节宜对伊乐藻、轮叶黑藻进行割茬处理，防止高温烂草。饲料种类包括植物性饲料、动物性饲料和克氏原螯虾专用配合饲料。提倡使用克氏原螯虾专用配合饲料，配合饲料应符合GB 13078-2017和NY 5072-2002的要求。</w:t>
      </w:r>
    </w:p>
    <w:p>
      <w:pPr>
        <w:pStyle w:val="3"/>
        <w:spacing w:before="240" w:after="240"/>
      </w:pPr>
      <w:r>
        <w:rPr>
          <w:rFonts w:hint="eastAsia"/>
        </w:rPr>
        <w:t>5.6 收获</w:t>
      </w:r>
    </w:p>
    <w:p>
      <w:r>
        <w:rPr>
          <w:rFonts w:hint="eastAsia"/>
        </w:rPr>
        <w:t>8月中旬，起捕鱼种至中转池塘后晒田。成熟收割前逐渐降低稻田水位，使鱼种进入鱼坑中便于起捕。起捕鱼种时可使用渔网，将鱼赶至出鱼口捞出。</w:t>
      </w:r>
    </w:p>
    <w:p>
      <w:r>
        <w:rPr>
          <w:rFonts w:hint="eastAsia"/>
        </w:rPr>
        <w:t>成虾捕捞时间为8月上中旬，捕捞工具以地笼为主。</w:t>
      </w:r>
    </w:p>
    <w:p>
      <w:r>
        <w:rPr>
          <w:rFonts w:hint="eastAsia"/>
        </w:rPr>
        <w:t>水稻收割时间为8月底。</w:t>
      </w:r>
    </w:p>
    <w:p>
      <w:pPr>
        <w:pStyle w:val="3"/>
        <w:spacing w:before="240" w:after="240"/>
      </w:pPr>
      <w:r>
        <w:rPr>
          <w:rFonts w:hint="eastAsia"/>
        </w:rPr>
        <w:t>5.7稻渔生产指标</w:t>
      </w:r>
    </w:p>
    <w:p>
      <w:r>
        <w:rPr>
          <w:rFonts w:hint="eastAsia"/>
        </w:rPr>
        <w:t>水稻产量、</w:t>
      </w:r>
      <w:r>
        <w:t>水稻质量、经济效益和生态效益应符合</w:t>
      </w:r>
      <w:r>
        <w:rPr>
          <w:rFonts w:hint="eastAsia"/>
        </w:rPr>
        <w:t>SC/T 1135.7</w:t>
      </w:r>
      <w:r>
        <w:t>的要求。</w:t>
      </w:r>
      <w:r>
        <w:rPr>
          <w:rFonts w:hint="eastAsia"/>
        </w:rPr>
        <w:t>水稻单产不低于当地水稻单作平均单产，安康市水产品产量每亩不低于200 kg。</w:t>
      </w:r>
    </w:p>
    <w:p>
      <w:pPr>
        <w:pStyle w:val="3"/>
        <w:spacing w:before="240" w:after="240"/>
      </w:pPr>
      <w:r>
        <w:rPr>
          <w:rFonts w:hint="eastAsia"/>
        </w:rPr>
        <w:t>5.8 油菜种植</w:t>
      </w:r>
    </w:p>
    <w:p>
      <w:pPr>
        <w:pStyle w:val="3"/>
        <w:spacing w:before="240" w:after="240"/>
      </w:pPr>
      <w:r>
        <w:rPr>
          <w:rFonts w:hint="eastAsia"/>
        </w:rPr>
        <w:t>5.8.1 品种选择</w:t>
      </w:r>
    </w:p>
    <w:p>
      <w:r>
        <w:rPr>
          <w:rFonts w:hint="eastAsia"/>
        </w:rPr>
        <w:t>品</w:t>
      </w:r>
      <w:r>
        <w:t>种选择选用国家登记，适宜在陕南地区种植的生育期适中，半矮杆、株型紧凑、抗病、抗倒伏、耐渍、成熟期集中的高产、稳产，油菜双低杂交品种。种子质量应符合</w:t>
      </w:r>
      <w:r>
        <w:rPr>
          <w:rFonts w:hint="eastAsia"/>
        </w:rPr>
        <w:t xml:space="preserve">GB 4407.2-2008及 </w:t>
      </w:r>
      <w:r>
        <w:rPr>
          <w:rFonts w:hint="eastAsia" w:hAnsi="宋体"/>
          <w:szCs w:val="21"/>
        </w:rPr>
        <w:t>NY/T 414</w:t>
      </w:r>
      <w:r>
        <w:rPr>
          <w:rFonts w:hint="eastAsia"/>
        </w:rPr>
        <w:t>中规定</w:t>
      </w:r>
      <w:r>
        <w:t>的要求执行。</w:t>
      </w:r>
    </w:p>
    <w:p>
      <w:r>
        <w:rPr>
          <w:rFonts w:hint="eastAsia"/>
        </w:rPr>
        <w:t>水稻</w:t>
      </w:r>
      <w:r>
        <w:t>收获后及时</w:t>
      </w:r>
      <w:r>
        <w:rPr>
          <w:rFonts w:hint="eastAsia"/>
        </w:rPr>
        <w:t>将水排空，晒田、整地</w:t>
      </w:r>
      <w:r>
        <w:t>。有机肥选择</w:t>
      </w:r>
      <w:r>
        <w:rPr>
          <w:rFonts w:hint="eastAsia"/>
        </w:rPr>
        <w:t>符合</w:t>
      </w:r>
      <w:r>
        <w:t>NY/T 1868-2021</w:t>
      </w:r>
      <w:r>
        <w:rPr>
          <w:rFonts w:hint="eastAsia"/>
        </w:rPr>
        <w:t>的要求；或选择充分腐熟的农家肥。</w:t>
      </w:r>
      <w:r>
        <w:t>有机肥或农家肥做基肥，结合秋翻或春翻施入，撒施均匀。</w:t>
      </w:r>
    </w:p>
    <w:p>
      <w:pPr>
        <w:pStyle w:val="3"/>
        <w:spacing w:before="240" w:after="240"/>
      </w:pPr>
      <w:r>
        <w:rPr>
          <w:rFonts w:hint="eastAsia"/>
        </w:rPr>
        <w:t>5.8.2 大田准备</w:t>
      </w:r>
    </w:p>
    <w:p>
      <w:pPr>
        <w:rPr>
          <w:rFonts w:hAnsi="宋体"/>
          <w:szCs w:val="21"/>
        </w:rPr>
      </w:pPr>
      <w:r>
        <w:rPr>
          <w:rFonts w:hint="eastAsia"/>
        </w:rPr>
        <w:t>田块选择，种植田块应选择地势平坦，前茬</w:t>
      </w:r>
      <w:r>
        <w:rPr>
          <w:rFonts w:hAnsi="宋体"/>
          <w:szCs w:val="21"/>
        </w:rPr>
        <w:t>水稻收获后及时将水排空，晒田，</w:t>
      </w:r>
      <w:r>
        <w:rPr>
          <w:rFonts w:hint="eastAsia" w:hAnsi="宋体"/>
          <w:szCs w:val="21"/>
        </w:rPr>
        <w:t>及时利用人工或打草机对田块杂草、稻茬进行灭茬粉碎处理。</w:t>
      </w:r>
    </w:p>
    <w:p>
      <w:pPr>
        <w:rPr>
          <w:rFonts w:hAnsi="宋体"/>
          <w:szCs w:val="21"/>
        </w:rPr>
      </w:pPr>
      <w:r>
        <w:rPr>
          <w:rFonts w:hint="eastAsia" w:hAnsi="宋体"/>
          <w:szCs w:val="21"/>
        </w:rPr>
        <w:t>开沟做厢，安康地区油菜种植应开沟做厢，厢面宽度1.8-2.0 m，平行厢面宽开出箱沟深20-30 cm，平行厢面长开出腰沟深15-20 cm，地块四周开围沟深25-35cm，箱沟、腰沟、围沟三沟相通，适宜排出多余积水。</w:t>
      </w:r>
    </w:p>
    <w:p>
      <w:r>
        <w:rPr>
          <w:rFonts w:hint="eastAsia" w:hAnsi="宋体"/>
          <w:szCs w:val="21"/>
        </w:rPr>
        <w:t>施肥，中等肥力土壤，目标菜籽产量2400kg/hm</w:t>
      </w:r>
      <w:r>
        <w:rPr>
          <w:rFonts w:hint="eastAsia" w:hAnsi="宋体"/>
          <w:szCs w:val="21"/>
          <w:vertAlign w:val="superscript"/>
        </w:rPr>
        <w:t>2</w:t>
      </w:r>
      <w:r>
        <w:rPr>
          <w:rFonts w:hint="eastAsia" w:hAnsi="宋体"/>
          <w:szCs w:val="21"/>
        </w:rPr>
        <w:t>左右，具体施肥方法及肥量应符合DB61/T 1392-2020要求。</w:t>
      </w:r>
    </w:p>
    <w:p>
      <w:pPr>
        <w:pStyle w:val="3"/>
        <w:spacing w:before="240" w:after="240"/>
      </w:pPr>
      <w:r>
        <w:rPr>
          <w:rFonts w:hint="eastAsia"/>
        </w:rPr>
        <w:t>5.8.2 播种</w:t>
      </w:r>
    </w:p>
    <w:p>
      <w:r>
        <w:rPr>
          <w:rFonts w:hint="eastAsia"/>
        </w:rPr>
        <w:t>播期：播种时期分为育苗移栽的播种育苗和直播栽培。选择播种育苗，可在8月底至9月初进行播种育苗，</w:t>
      </w:r>
      <w:r>
        <w:rPr>
          <w:color w:val="231F20"/>
          <w:szCs w:val="21"/>
        </w:rPr>
        <w:t>油菜苗床地应该选择北风向阳、土壤肥沃、土质疏松，地势平坦，排水、</w:t>
      </w:r>
      <w:r>
        <w:rPr>
          <w:rFonts w:hint="eastAsia"/>
          <w:color w:val="231F20"/>
          <w:szCs w:val="21"/>
        </w:rPr>
        <w:t>灌水</w:t>
      </w:r>
      <w:r>
        <w:rPr>
          <w:color w:val="231F20"/>
          <w:szCs w:val="21"/>
        </w:rPr>
        <w:t>方便，前茬作物为非十字花科作物的田块。</w:t>
      </w:r>
      <w:r>
        <w:rPr>
          <w:szCs w:val="21"/>
        </w:rPr>
        <w:t>苗床地播种量</w:t>
      </w:r>
      <w:r>
        <w:rPr>
          <w:rFonts w:hint="eastAsia"/>
          <w:szCs w:val="21"/>
        </w:rPr>
        <w:t>1-1.5</w:t>
      </w:r>
      <w:r>
        <w:rPr>
          <w:szCs w:val="21"/>
        </w:rPr>
        <w:t xml:space="preserve"> kg/亩</w:t>
      </w:r>
      <w:r>
        <w:t>，</w:t>
      </w:r>
      <w:r>
        <w:rPr>
          <w:rFonts w:hint="eastAsia"/>
        </w:rPr>
        <w:t>10月初，待育苗真叶数3-5片时进行移栽，</w:t>
      </w:r>
      <w:r>
        <w:rPr>
          <w:szCs w:val="21"/>
        </w:rPr>
        <w:t>最佳单株移栽</w:t>
      </w:r>
      <w:r>
        <w:rPr>
          <w:rFonts w:hint="eastAsia"/>
          <w:szCs w:val="21"/>
        </w:rPr>
        <w:t>定植密度</w:t>
      </w:r>
      <w:r>
        <w:rPr>
          <w:szCs w:val="21"/>
        </w:rPr>
        <w:t>0.7万～</w:t>
      </w:r>
      <w:r>
        <w:rPr>
          <w:rFonts w:hint="eastAsia"/>
          <w:szCs w:val="21"/>
        </w:rPr>
        <w:t>0</w:t>
      </w:r>
      <w:r>
        <w:rPr>
          <w:szCs w:val="21"/>
        </w:rPr>
        <w:t>.9万株/</w:t>
      </w:r>
      <w:r>
        <w:rPr>
          <w:rFonts w:hint="eastAsia"/>
          <w:szCs w:val="21"/>
        </w:rPr>
        <w:t>亩，</w:t>
      </w:r>
      <w:r>
        <w:rPr>
          <w:rFonts w:hint="eastAsia" w:hAnsi="宋体"/>
          <w:szCs w:val="21"/>
        </w:rPr>
        <w:t>移栽时边起苗、边移栽、边浇定根水。</w:t>
      </w:r>
      <w:r>
        <w:rPr>
          <w:color w:val="231F20"/>
          <w:szCs w:val="21"/>
        </w:rPr>
        <w:t>在</w:t>
      </w:r>
      <w:r>
        <w:rPr>
          <w:rFonts w:hint="eastAsia"/>
          <w:color w:val="231F20"/>
          <w:szCs w:val="21"/>
        </w:rPr>
        <w:t>油菜育苗过程</w:t>
      </w:r>
      <w:r>
        <w:rPr>
          <w:color w:val="231F20"/>
          <w:szCs w:val="21"/>
        </w:rPr>
        <w:t>，通过适期播种、扩大苗床面积、苗床化控、科学建床降低高脚苗和弱苗，</w:t>
      </w:r>
      <w:r>
        <w:t>培育适龄壮苗</w:t>
      </w:r>
      <w:r>
        <w:rPr>
          <w:color w:val="231F20"/>
          <w:sz w:val="24"/>
        </w:rPr>
        <w:t>。</w:t>
      </w:r>
      <w:r>
        <w:rPr>
          <w:rFonts w:hint="eastAsia"/>
        </w:rPr>
        <w:t>直播可在9月下旬至10月上旬播种油菜。播种，可采用机械播种或人工播种。机械播种的行距为30cm，播深1.0-2.0cm，播量3.0kg/hm</w:t>
      </w:r>
      <w:r>
        <w:rPr>
          <w:rFonts w:hint="eastAsia"/>
          <w:vertAlign w:val="superscript"/>
        </w:rPr>
        <w:t>2</w:t>
      </w:r>
      <w:r>
        <w:rPr>
          <w:rFonts w:hint="eastAsia"/>
        </w:rPr>
        <w:t>~4.5kg/hm</w:t>
      </w:r>
      <w:r>
        <w:rPr>
          <w:rFonts w:hint="eastAsia"/>
          <w:vertAlign w:val="superscript"/>
        </w:rPr>
        <w:t>2</w:t>
      </w:r>
      <w:r>
        <w:rPr>
          <w:rFonts w:hint="eastAsia"/>
        </w:rPr>
        <w:t xml:space="preserve"> ，旋耕、施肥、播种应符合NY/T 1229和NY/T2709的规定。</w:t>
      </w:r>
    </w:p>
    <w:p>
      <w:pPr>
        <w:pStyle w:val="3"/>
        <w:spacing w:before="240" w:after="240"/>
      </w:pPr>
      <w:r>
        <w:rPr>
          <w:rFonts w:hint="eastAsia"/>
        </w:rPr>
        <w:t>5.8.3 田间管理</w:t>
      </w:r>
    </w:p>
    <w:p>
      <w:pPr>
        <w:rPr>
          <w:szCs w:val="21"/>
        </w:rPr>
      </w:pPr>
      <w:r>
        <w:rPr>
          <w:rFonts w:hint="eastAsia"/>
        </w:rPr>
        <w:t>水肥管理。油菜</w:t>
      </w:r>
      <w:r>
        <w:rPr>
          <w:rFonts w:hAnsi="宋体"/>
          <w:szCs w:val="21"/>
        </w:rPr>
        <w:t>施肥应“施足底肥、早施苗肥、重施苔肥，适量追施花肥和根外追肥”。油菜</w:t>
      </w:r>
      <w:r>
        <w:rPr>
          <w:rFonts w:hint="eastAsia" w:hAnsi="宋体"/>
          <w:szCs w:val="21"/>
        </w:rPr>
        <w:t>9-10叶</w:t>
      </w:r>
      <w:r>
        <w:rPr>
          <w:color w:val="000000"/>
          <w:szCs w:val="21"/>
        </w:rPr>
        <w:t>结合灌溉或降雨追施尿素</w:t>
      </w:r>
      <w:r>
        <w:rPr>
          <w:rFonts w:hint="eastAsia"/>
          <w:color w:val="000000"/>
          <w:szCs w:val="21"/>
        </w:rPr>
        <w:t>6</w:t>
      </w:r>
      <w:r>
        <w:rPr>
          <w:rFonts w:hint="eastAsia"/>
          <w:color w:val="231F20"/>
          <w:szCs w:val="21"/>
        </w:rPr>
        <w:t>~8</w:t>
      </w:r>
      <w:r>
        <w:rPr>
          <w:color w:val="000000"/>
          <w:szCs w:val="21"/>
        </w:rPr>
        <w:t>k</w:t>
      </w:r>
      <w:r>
        <w:rPr>
          <w:rFonts w:hint="eastAsia"/>
          <w:color w:val="000000"/>
          <w:szCs w:val="21"/>
        </w:rPr>
        <w:t>g/亩</w:t>
      </w:r>
      <w:r>
        <w:rPr>
          <w:color w:val="000000"/>
          <w:szCs w:val="21"/>
        </w:rPr>
        <w:t>，钾肥</w:t>
      </w:r>
      <w:r>
        <w:rPr>
          <w:rFonts w:hint="eastAsia"/>
          <w:color w:val="000000"/>
          <w:szCs w:val="21"/>
        </w:rPr>
        <w:t>1kg/亩，提高抗寒性</w:t>
      </w:r>
      <w:r>
        <w:rPr>
          <w:rFonts w:hint="eastAsia"/>
          <w:szCs w:val="21"/>
        </w:rPr>
        <w:t>；初花期喷施0</w:t>
      </w:r>
      <w:r>
        <w:rPr>
          <w:szCs w:val="21"/>
        </w:rPr>
        <w:t>.</w:t>
      </w:r>
      <w:r>
        <w:rPr>
          <w:rFonts w:hint="eastAsia"/>
          <w:szCs w:val="21"/>
        </w:rPr>
        <w:t>1</w:t>
      </w:r>
      <w:r>
        <w:rPr>
          <w:szCs w:val="21"/>
        </w:rPr>
        <w:t>%</w:t>
      </w:r>
      <w:r>
        <w:rPr>
          <w:rFonts w:hint="eastAsia"/>
          <w:color w:val="231F20"/>
          <w:szCs w:val="21"/>
        </w:rPr>
        <w:t>~</w:t>
      </w:r>
      <w:r>
        <w:rPr>
          <w:szCs w:val="21"/>
        </w:rPr>
        <w:t>0.</w:t>
      </w:r>
      <w:r>
        <w:rPr>
          <w:rFonts w:hint="eastAsia"/>
          <w:szCs w:val="21"/>
        </w:rPr>
        <w:t>2</w:t>
      </w:r>
      <w:r>
        <w:rPr>
          <w:szCs w:val="21"/>
        </w:rPr>
        <w:t>%</w:t>
      </w:r>
      <w:r>
        <w:rPr>
          <w:rFonts w:hint="eastAsia"/>
          <w:szCs w:val="21"/>
        </w:rPr>
        <w:t>硼砂溶液，0.2%的</w:t>
      </w:r>
      <w:r>
        <w:rPr>
          <w:szCs w:val="21"/>
        </w:rPr>
        <w:t>磷酸二氢钾溶液和</w:t>
      </w:r>
      <w:r>
        <w:rPr>
          <w:rFonts w:hint="eastAsia"/>
          <w:szCs w:val="21"/>
        </w:rPr>
        <w:t>2.0%的尿素混合溶液75kg/亩，喷施应符合</w:t>
      </w:r>
      <w:r>
        <w:rPr>
          <w:rFonts w:hint="eastAsia" w:hAnsi="宋体"/>
          <w:szCs w:val="21"/>
        </w:rPr>
        <w:t>符合DB61/T 1392-2020中的规定</w:t>
      </w:r>
      <w:r>
        <w:rPr>
          <w:szCs w:val="21"/>
        </w:rPr>
        <w:t>。</w:t>
      </w:r>
      <w:r>
        <w:rPr>
          <w:rFonts w:hint="eastAsia"/>
        </w:rPr>
        <w:t>灌溉水质灌溉用水质量符合NY/T 391-2021规定要求。油菜在抽苔、初花、盛花和青角期要及时灌溉、速灌速排。</w:t>
      </w:r>
    </w:p>
    <w:p>
      <w:pPr>
        <w:rPr>
          <w:rFonts w:hAnsi="宋体"/>
          <w:szCs w:val="21"/>
        </w:rPr>
      </w:pPr>
      <w:r>
        <w:rPr>
          <w:rFonts w:hint="eastAsia"/>
        </w:rPr>
        <w:t>病虫草害防治。</w:t>
      </w:r>
      <w:r>
        <w:rPr>
          <w:rFonts w:hint="eastAsia" w:hAnsi="宋体"/>
          <w:szCs w:val="21"/>
        </w:rPr>
        <w:t>油菜病害</w:t>
      </w:r>
      <w:r>
        <w:rPr>
          <w:rFonts w:hAnsi="宋体"/>
          <w:szCs w:val="21"/>
        </w:rPr>
        <w:t>防治采用抗</w:t>
      </w:r>
      <w:r>
        <w:rPr>
          <w:rFonts w:hint="eastAsia" w:hAnsi="宋体"/>
          <w:szCs w:val="21"/>
        </w:rPr>
        <w:t>、耐</w:t>
      </w:r>
      <w:r>
        <w:rPr>
          <w:rFonts w:hAnsi="宋体"/>
          <w:szCs w:val="21"/>
        </w:rPr>
        <w:t>病品种</w:t>
      </w:r>
      <w:r>
        <w:rPr>
          <w:rFonts w:hint="eastAsia" w:hAnsi="宋体"/>
          <w:szCs w:val="21"/>
        </w:rPr>
        <w:t>（减少化学药品施用）、</w:t>
      </w:r>
      <w:r>
        <w:rPr>
          <w:rFonts w:hAnsi="宋体"/>
          <w:szCs w:val="21"/>
        </w:rPr>
        <w:t>合理轮作</w:t>
      </w:r>
      <w:r>
        <w:rPr>
          <w:rFonts w:hint="eastAsia" w:hAnsi="宋体"/>
          <w:szCs w:val="21"/>
        </w:rPr>
        <w:t>换茬（减少病菌数量）和人工辅助</w:t>
      </w:r>
      <w:r>
        <w:rPr>
          <w:rFonts w:hAnsi="宋体"/>
          <w:szCs w:val="21"/>
        </w:rPr>
        <w:t>措施</w:t>
      </w:r>
      <w:r>
        <w:rPr>
          <w:rFonts w:hint="eastAsia" w:hAnsi="宋体"/>
          <w:szCs w:val="21"/>
        </w:rPr>
        <w:t>（及时拔除病株，</w:t>
      </w:r>
      <w:r>
        <w:rPr>
          <w:rFonts w:hAnsi="宋体"/>
          <w:szCs w:val="21"/>
        </w:rPr>
        <w:t>摘除黄叶、老叶、病叶</w:t>
      </w:r>
      <w:r>
        <w:rPr>
          <w:rFonts w:hint="eastAsia" w:hAnsi="宋体"/>
          <w:szCs w:val="21"/>
        </w:rPr>
        <w:t>）。虫害防治主要采用</w:t>
      </w:r>
      <w:r>
        <w:rPr>
          <w:rFonts w:hAnsi="宋体"/>
          <w:szCs w:val="21"/>
        </w:rPr>
        <w:t>物理防治</w:t>
      </w:r>
      <w:r>
        <w:rPr>
          <w:rFonts w:hint="eastAsia" w:hAnsi="宋体"/>
          <w:szCs w:val="21"/>
        </w:rPr>
        <w:t>措施，有机肥必须施入完全腐熟的，可大大减少病菌和虫卵，田间可采用</w:t>
      </w:r>
      <w:r>
        <w:rPr>
          <w:rFonts w:hAnsi="宋体"/>
          <w:szCs w:val="21"/>
        </w:rPr>
        <w:t>诱虫灯</w:t>
      </w:r>
      <w:r>
        <w:rPr>
          <w:rFonts w:hint="eastAsia" w:hAnsi="宋体"/>
          <w:szCs w:val="21"/>
        </w:rPr>
        <w:t>和诱虫板（黄色、蓝色）进行多种害虫防治</w:t>
      </w:r>
      <w:r>
        <w:rPr>
          <w:rFonts w:hAnsi="宋体"/>
          <w:szCs w:val="21"/>
        </w:rPr>
        <w:t>。</w:t>
      </w:r>
      <w:r>
        <w:rPr>
          <w:rFonts w:hint="eastAsia" w:hAnsi="宋体"/>
          <w:szCs w:val="21"/>
        </w:rPr>
        <w:t>油菜花期和</w:t>
      </w:r>
      <w:r>
        <w:rPr>
          <w:rFonts w:hAnsi="宋体"/>
          <w:szCs w:val="21"/>
        </w:rPr>
        <w:t>青荚期蚜虫</w:t>
      </w:r>
      <w:r>
        <w:rPr>
          <w:rFonts w:hint="eastAsia" w:hAnsi="宋体"/>
          <w:szCs w:val="21"/>
        </w:rPr>
        <w:t>防治可采用诱虫板+人工除蚜棒，人工对蚜棒（枝条顶部蚜虫密集部）进行摘除和销毁。农药使用应符合GB/T 8321.2-2000 农药合理使用准则（二）、GB/T 8321.5-2006 农药合理使用准则（五）、GB/T 8321.6-2000 农药合理使用准则（六）、GB/T 8321.8-2007 农药合理使用准则（八）、GB/T 8321.9-2009 农药合理使用准则（九）、GB/T 8321.10-2018 农药合理使用准则（十）的规定。</w:t>
      </w:r>
    </w:p>
    <w:p>
      <w:pPr>
        <w:pStyle w:val="3"/>
        <w:spacing w:before="240" w:after="240"/>
      </w:pPr>
      <w:r>
        <w:rPr>
          <w:rFonts w:hint="eastAsia"/>
        </w:rPr>
        <w:t>5.8.4 收获</w:t>
      </w:r>
    </w:p>
    <w:p>
      <w:pPr>
        <w:rPr>
          <w:rFonts w:hAnsi="宋体"/>
          <w:szCs w:val="21"/>
        </w:rPr>
      </w:pPr>
      <w:r>
        <w:rPr>
          <w:szCs w:val="21"/>
        </w:rPr>
        <w:t>收获，</w:t>
      </w:r>
      <w:r>
        <w:rPr>
          <w:rFonts w:hAnsi="宋体"/>
          <w:szCs w:val="21"/>
        </w:rPr>
        <w:t>当油菜主序角果</w:t>
      </w:r>
      <w:r>
        <w:rPr>
          <w:rFonts w:hint="eastAsia" w:hAnsi="宋体"/>
          <w:szCs w:val="21"/>
        </w:rPr>
        <w:t>呈</w:t>
      </w:r>
      <w:r>
        <w:rPr>
          <w:rFonts w:hAnsi="宋体"/>
          <w:szCs w:val="21"/>
        </w:rPr>
        <w:t>枇杷色、近基枝角果褪色、中上部角果为黄色时及时收获，</w:t>
      </w:r>
      <w:r>
        <w:rPr>
          <w:rFonts w:hint="eastAsia" w:hAnsi="宋体"/>
          <w:szCs w:val="21"/>
        </w:rPr>
        <w:t>可</w:t>
      </w:r>
      <w:r>
        <w:rPr>
          <w:rFonts w:hAnsi="宋体"/>
          <w:szCs w:val="21"/>
        </w:rPr>
        <w:t>采用</w:t>
      </w:r>
      <w:r>
        <w:rPr>
          <w:rFonts w:hint="eastAsia" w:hAnsi="宋体"/>
          <w:szCs w:val="21"/>
        </w:rPr>
        <w:t>人工收割或者机械收割</w:t>
      </w:r>
      <w:r>
        <w:rPr>
          <w:rFonts w:hAnsi="宋体"/>
          <w:szCs w:val="21"/>
        </w:rPr>
        <w:t>。油菜收割后，田间晾晒</w:t>
      </w:r>
      <w:r>
        <w:rPr>
          <w:rFonts w:hint="eastAsia"/>
          <w:szCs w:val="21"/>
        </w:rPr>
        <w:t>3</w:t>
      </w:r>
      <w:r>
        <w:rPr>
          <w:szCs w:val="21"/>
        </w:rPr>
        <w:t>~</w:t>
      </w:r>
      <w:r>
        <w:rPr>
          <w:rFonts w:hint="eastAsia"/>
          <w:szCs w:val="21"/>
        </w:rPr>
        <w:t>5</w:t>
      </w:r>
      <w:r>
        <w:rPr>
          <w:szCs w:val="21"/>
        </w:rPr>
        <w:t>d</w:t>
      </w:r>
      <w:r>
        <w:rPr>
          <w:rFonts w:hAnsi="宋体"/>
          <w:szCs w:val="21"/>
        </w:rPr>
        <w:t>，</w:t>
      </w:r>
      <w:r>
        <w:rPr>
          <w:rFonts w:hint="eastAsia" w:hAnsi="宋体"/>
          <w:szCs w:val="21"/>
        </w:rPr>
        <w:t>人工打碾或者机械捡拾脱</w:t>
      </w:r>
      <w:r>
        <w:rPr>
          <w:rFonts w:hAnsi="宋体"/>
          <w:szCs w:val="21"/>
        </w:rPr>
        <w:t>籽</w:t>
      </w:r>
      <w:r>
        <w:rPr>
          <w:rFonts w:hint="eastAsia" w:hAnsi="宋体"/>
          <w:szCs w:val="21"/>
        </w:rPr>
        <w:t>。机械收获可采取分段收获或者联合收获。具体收获技术标准应符合DB61/T 1392-2020中的规定。</w:t>
      </w:r>
    </w:p>
    <w:p>
      <w:pPr>
        <w:rPr>
          <w:rFonts w:hAnsi="宋体"/>
          <w:szCs w:val="21"/>
        </w:rPr>
      </w:pPr>
      <w:r>
        <w:rPr>
          <w:rFonts w:hint="eastAsia" w:hAnsi="宋体"/>
          <w:szCs w:val="21"/>
        </w:rPr>
        <w:t>种子储藏，油菜籽晾晒至含水量≤9%可入库储藏，长期储藏油菜籽入库含水量应≤7%，储藏应符合NY/T 1087的相关要求。油菜籽品质应符合NY/T 415的规定要求。</w:t>
      </w:r>
    </w:p>
    <w:p>
      <w:pPr>
        <w:pStyle w:val="3"/>
        <w:spacing w:before="240" w:after="240"/>
      </w:pPr>
      <w:r>
        <w:rPr>
          <w:rFonts w:hint="eastAsia"/>
        </w:rPr>
        <w:t>5.8.5 油菜生产指标</w:t>
      </w:r>
    </w:p>
    <w:p>
      <w:r>
        <w:rPr>
          <w:rFonts w:hint="eastAsia"/>
        </w:rPr>
        <w:t>油菜单产不低于当地中等田油菜单作平均单产160kg/亩的标准。</w:t>
      </w:r>
    </w:p>
    <w:p/>
    <w:sectPr>
      <w:headerReference r:id="rId14" w:type="default"/>
      <w:footerReference r:id="rId15" w:type="default"/>
      <w:pgSz w:w="11922" w:h="16838"/>
      <w:pgMar w:top="1440" w:right="1440" w:bottom="1440" w:left="1440" w:header="850" w:footer="850" w:gutter="0"/>
      <w:pgNumType w:start="1"/>
      <w:cols w:space="0" w:num="1"/>
      <w:docGrid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ind w:firstLine="0" w:firstLineChars="0"/>
      <w:jc w:val="left"/>
      <w:textAlignment w:val="baseline"/>
      <w:rPr>
        <w:snapToGrid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napToGrid w:val="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ascii="Arial" w:hAnsi="Arial" w:eastAsia="Arial" w:cs="Arial"/>
        <w:snapToGrid w:val="0"/>
        <w:color w:val="000000"/>
        <w:kern w:val="0"/>
        <w:szCs w:val="21"/>
      </w:rPr>
    </w:pPr>
    <w:r>
      <mc:AlternateContent>
        <mc:Choice Requires="wps">
          <w:drawing>
            <wp:anchor distT="0" distB="0" distL="114300" distR="114300" simplePos="0" relativeHeight="251661312" behindDoc="0" locked="0" layoutInCell="1" allowOverlap="1">
              <wp:simplePos x="0" y="0"/>
              <wp:positionH relativeFrom="margin">
                <wp:posOffset>2772410</wp:posOffset>
              </wp:positionH>
              <wp:positionV relativeFrom="paragraph">
                <wp:posOffset>-6985</wp:posOffset>
              </wp:positionV>
              <wp:extent cx="1828800" cy="144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44780"/>
                      </a:xfrm>
                      <a:prstGeom prst="rect">
                        <a:avLst/>
                      </a:prstGeom>
                      <a:noFill/>
                      <a:ln w="6350">
                        <a:noFill/>
                      </a:ln>
                      <a:effectLst/>
                    </wps:spPr>
                    <wps:txbx>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8</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3pt;margin-top:-0.55pt;height:11.4pt;width:144pt;mso-position-horizontal-relative:margin;mso-wrap-style:none;z-index:251661312;mso-width-relative:page;mso-height-relative:page;" filled="f" stroked="f" coordsize="21600,21600" o:gfxdata="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rIZbjZAAAACQEAAA8AAAAAAAAAAQAgAAAAIgAAAGRycy9k&#10;b3ducmV2LnhtbFBLAQIUABQAAAAIAIdO4kCuosXJOgIAAG4EAAAOAAAAAAAAAAEAIAAAACgBAABk&#10;cnMvZTJvRG9jLnhtbFBLBQYAAAAABgAGAFkBAADUBQAAAAA=&#10;">
              <v:fill on="f" focussize="0,0"/>
              <v:stroke on="f" weight="0.5pt"/>
              <v:imagedata o:title=""/>
              <o:lock v:ext="edit" aspectratio="f"/>
              <v:textbox inset="0mm,0mm,0mm,0mm">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8</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8306"/>
      </w:tabs>
      <w:ind w:firstLine="0" w:firstLineChars="0"/>
      <w:jc w:val="right"/>
    </w:pPr>
    <w:r>
      <w:rPr>
        <w:rFonts w:hint="eastAsia"/>
      </w:rPr>
      <w:t>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right"/>
      <w:rPr>
        <w:szCs w:val="21"/>
      </w:rPr>
    </w:pPr>
    <w:r>
      <w:rPr>
        <w:rFonts w:hint="eastAsia"/>
      </w:rPr>
      <w:t>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MTMxZmFhNTM0YWUwMmU5NWZmNWE1NmRiZmVhODUifQ=="/>
  </w:docVars>
  <w:rsids>
    <w:rsidRoot w:val="47995074"/>
    <w:rsid w:val="00021B00"/>
    <w:rsid w:val="000F0F11"/>
    <w:rsid w:val="00115360"/>
    <w:rsid w:val="00135C32"/>
    <w:rsid w:val="001C6F7A"/>
    <w:rsid w:val="001D6453"/>
    <w:rsid w:val="002339B4"/>
    <w:rsid w:val="00235112"/>
    <w:rsid w:val="002B61D0"/>
    <w:rsid w:val="002E4F28"/>
    <w:rsid w:val="002E7BF6"/>
    <w:rsid w:val="00332749"/>
    <w:rsid w:val="0034035E"/>
    <w:rsid w:val="00355371"/>
    <w:rsid w:val="00494480"/>
    <w:rsid w:val="00501FCC"/>
    <w:rsid w:val="005A5572"/>
    <w:rsid w:val="005C3040"/>
    <w:rsid w:val="00600219"/>
    <w:rsid w:val="00661D37"/>
    <w:rsid w:val="00842412"/>
    <w:rsid w:val="00911E1F"/>
    <w:rsid w:val="00B53C6E"/>
    <w:rsid w:val="00C57CFB"/>
    <w:rsid w:val="00D92877"/>
    <w:rsid w:val="00EB0A9F"/>
    <w:rsid w:val="00EE1C5C"/>
    <w:rsid w:val="00F3386B"/>
    <w:rsid w:val="00FE2E97"/>
    <w:rsid w:val="00FE37C5"/>
    <w:rsid w:val="02811068"/>
    <w:rsid w:val="04EF43C3"/>
    <w:rsid w:val="06993EC5"/>
    <w:rsid w:val="0AE9468E"/>
    <w:rsid w:val="14F5463D"/>
    <w:rsid w:val="16232C9A"/>
    <w:rsid w:val="16531322"/>
    <w:rsid w:val="17FD0C5D"/>
    <w:rsid w:val="18555166"/>
    <w:rsid w:val="19DC66F6"/>
    <w:rsid w:val="19F70937"/>
    <w:rsid w:val="1A0C111B"/>
    <w:rsid w:val="1C297D63"/>
    <w:rsid w:val="1D2251D7"/>
    <w:rsid w:val="1D3D77A3"/>
    <w:rsid w:val="1F784B5D"/>
    <w:rsid w:val="20E57214"/>
    <w:rsid w:val="230A5C9B"/>
    <w:rsid w:val="2E263226"/>
    <w:rsid w:val="2F5870E9"/>
    <w:rsid w:val="30D80244"/>
    <w:rsid w:val="32BC2545"/>
    <w:rsid w:val="32C909CC"/>
    <w:rsid w:val="378979A7"/>
    <w:rsid w:val="3A892DA9"/>
    <w:rsid w:val="3BF863DF"/>
    <w:rsid w:val="3C8C678C"/>
    <w:rsid w:val="3CBC4D96"/>
    <w:rsid w:val="3CD833B5"/>
    <w:rsid w:val="3F025596"/>
    <w:rsid w:val="3FB00A6C"/>
    <w:rsid w:val="44233EA7"/>
    <w:rsid w:val="443950FE"/>
    <w:rsid w:val="44DB3BED"/>
    <w:rsid w:val="4574567C"/>
    <w:rsid w:val="46B40906"/>
    <w:rsid w:val="46B5155D"/>
    <w:rsid w:val="47995074"/>
    <w:rsid w:val="48466529"/>
    <w:rsid w:val="4A434076"/>
    <w:rsid w:val="4AEE3DA2"/>
    <w:rsid w:val="4F5B752C"/>
    <w:rsid w:val="502209B1"/>
    <w:rsid w:val="50AB018D"/>
    <w:rsid w:val="51F569AC"/>
    <w:rsid w:val="529921FD"/>
    <w:rsid w:val="57D52B76"/>
    <w:rsid w:val="59711F97"/>
    <w:rsid w:val="5D136583"/>
    <w:rsid w:val="5E593F88"/>
    <w:rsid w:val="5EA4176F"/>
    <w:rsid w:val="63284706"/>
    <w:rsid w:val="638E73FE"/>
    <w:rsid w:val="651755A7"/>
    <w:rsid w:val="67A12122"/>
    <w:rsid w:val="68C83770"/>
    <w:rsid w:val="68D472F2"/>
    <w:rsid w:val="6A53459D"/>
    <w:rsid w:val="6B0625EA"/>
    <w:rsid w:val="6D3F46DE"/>
    <w:rsid w:val="6D4D64D5"/>
    <w:rsid w:val="6E9B5D77"/>
    <w:rsid w:val="6EA7165E"/>
    <w:rsid w:val="720C6738"/>
    <w:rsid w:val="7581531D"/>
    <w:rsid w:val="762B3235"/>
    <w:rsid w:val="775D1F2A"/>
    <w:rsid w:val="79661EFA"/>
    <w:rsid w:val="79980C44"/>
    <w:rsid w:val="79F34ABC"/>
    <w:rsid w:val="79FE21A5"/>
    <w:rsid w:val="7A807CC3"/>
    <w:rsid w:val="7C8368F2"/>
    <w:rsid w:val="7DC5243D"/>
    <w:rsid w:val="7E2C433D"/>
    <w:rsid w:val="7FB558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20" w:firstLineChars="20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12"/>
    <w:autoRedefine/>
    <w:qFormat/>
    <w:uiPriority w:val="0"/>
    <w:pPr>
      <w:keepNext/>
      <w:keepLines/>
      <w:spacing w:before="300" w:after="240"/>
      <w:jc w:val="center"/>
      <w:outlineLvl w:val="0"/>
    </w:pPr>
    <w:rPr>
      <w:rFonts w:eastAsia="黑体"/>
      <w:b/>
      <w:kern w:val="44"/>
      <w:sz w:val="32"/>
    </w:rPr>
  </w:style>
  <w:style w:type="paragraph" w:styleId="3">
    <w:name w:val="heading 2"/>
    <w:basedOn w:val="1"/>
    <w:next w:val="1"/>
    <w:autoRedefine/>
    <w:unhideWhenUsed/>
    <w:qFormat/>
    <w:uiPriority w:val="0"/>
    <w:pPr>
      <w:keepNext/>
      <w:keepLines/>
      <w:spacing w:beforeLines="100" w:afterLines="100"/>
      <w:ind w:firstLine="0" w:firstLineChars="0"/>
      <w:outlineLvl w:val="1"/>
    </w:pPr>
    <w:rPr>
      <w:rFonts w:eastAsia="黑体"/>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3"/>
    <w:autoRedefine/>
    <w:qFormat/>
    <w:uiPriority w:val="0"/>
    <w:rPr>
      <w:sz w:val="18"/>
      <w:szCs w:val="18"/>
    </w:rPr>
  </w:style>
  <w:style w:type="paragraph" w:styleId="6">
    <w:name w:val="footer"/>
    <w:basedOn w:val="1"/>
    <w:autoRedefine/>
    <w:qFormat/>
    <w:uiPriority w:val="0"/>
    <w:pPr>
      <w:tabs>
        <w:tab w:val="center" w:pos="4153"/>
        <w:tab w:val="right" w:pos="8306"/>
      </w:tabs>
      <w:snapToGrid w:val="0"/>
      <w:ind w:firstLine="0" w:firstLineChars="0"/>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pPr>
      <w:tabs>
        <w:tab w:val="right" w:leader="dot" w:pos="9355"/>
      </w:tabs>
      <w:ind w:firstLine="0" w:firstLineChars="0"/>
    </w:pPr>
  </w:style>
  <w:style w:type="character" w:styleId="11">
    <w:name w:val="annotation reference"/>
    <w:basedOn w:val="10"/>
    <w:autoRedefine/>
    <w:qFormat/>
    <w:uiPriority w:val="0"/>
    <w:rPr>
      <w:sz w:val="21"/>
      <w:szCs w:val="21"/>
    </w:rPr>
  </w:style>
  <w:style w:type="character" w:customStyle="1" w:styleId="12">
    <w:name w:val="标题 1 字符"/>
    <w:link w:val="2"/>
    <w:autoRedefine/>
    <w:qFormat/>
    <w:uiPriority w:val="0"/>
    <w:rPr>
      <w:rFonts w:eastAsia="黑体"/>
      <w:b/>
      <w:kern w:val="44"/>
      <w:sz w:val="32"/>
    </w:rPr>
  </w:style>
  <w:style w:type="character" w:customStyle="1" w:styleId="13">
    <w:name w:val="批注框文本 字符"/>
    <w:basedOn w:val="10"/>
    <w:link w:val="5"/>
    <w:autoRedefine/>
    <w:qFormat/>
    <w:uiPriority w:val="0"/>
    <w:rPr>
      <w:rFonts w:cstheme="minorBidi"/>
      <w:kern w:val="2"/>
      <w:sz w:val="18"/>
      <w:szCs w:val="18"/>
    </w:rPr>
  </w:style>
  <w:style w:type="paragraph" w:customStyle="1" w:styleId="14">
    <w:name w:val="Revision"/>
    <w:autoRedefine/>
    <w:hidden/>
    <w:unhideWhenUsed/>
    <w:qFormat/>
    <w:uiPriority w:val="99"/>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pany>
  <Pages>11</Pages>
  <Words>6873</Words>
  <Characters>8655</Characters>
  <Lines>79</Lines>
  <Paragraphs>22</Paragraphs>
  <TotalTime>4</TotalTime>
  <ScaleCrop>false</ScaleCrop>
  <LinksUpToDate>false</LinksUpToDate>
  <CharactersWithSpaces>8923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2024-04-28T02:05:00Z</dcterms:created>
  <dc:creator>江户紫</dc:creator>
  <cp:lastModifiedBy>ujfj500</cp:lastModifiedBy>
  <dcterms:modified xsi:type="dcterms:W3CDTF">2024-06-01T09:01:44Z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CB257CD0D08F4DDAADD184CFB52F9E5A_13</vt:lpwstr>
  </property>
</Properties>
</file>